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638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4753"/>
        <w:gridCol w:w="4884"/>
      </w:tblGrid>
      <w:tr>
        <w:trPr/>
        <w:tc>
          <w:tcPr>
            <w:tcW w:w="4753" w:type="dxa"/>
            <w:tcBorders/>
          </w:tcPr>
          <w:p>
            <w:pPr>
              <w:pStyle w:val="Style23"/>
              <w:rPr/>
            </w:pPr>
            <w:r>
              <w:rPr/>
            </w:r>
          </w:p>
        </w:tc>
        <w:tc>
          <w:tcPr>
            <w:tcW w:w="4884" w:type="dxa"/>
            <w:tcBorders/>
          </w:tcPr>
          <w:p>
            <w:pPr>
              <w:pStyle w:val="Standard"/>
              <w:rPr/>
            </w:pPr>
            <w:r>
              <w:rPr>
                <w:sz w:val="28"/>
                <w:szCs w:val="28"/>
                <w:lang w:eastAsia="en-US"/>
              </w:rPr>
              <w:t>Приложение 4</w:t>
            </w:r>
          </w:p>
          <w:p>
            <w:pPr>
              <w:pStyle w:val="Standard"/>
              <w:rPr/>
            </w:pPr>
            <w:r>
              <w:rPr>
                <w:sz w:val="28"/>
                <w:szCs w:val="28"/>
                <w:lang w:eastAsia="en-US"/>
              </w:rPr>
              <w:t>к муниципальной программе муниципального образования Северский муниципальный район Краснодарского края</w:t>
            </w:r>
          </w:p>
          <w:p>
            <w:pPr>
              <w:pStyle w:val="Standard"/>
              <w:rPr/>
            </w:pPr>
            <w:r>
              <w:rPr>
                <w:bCs/>
                <w:sz w:val="28"/>
                <w:szCs w:val="28"/>
                <w:lang w:eastAsia="en-US"/>
              </w:rPr>
              <w:t>«</w:t>
            </w:r>
            <w:r>
              <w:rPr>
                <w:sz w:val="28"/>
                <w:szCs w:val="28"/>
                <w:lang w:eastAsia="en-US"/>
              </w:rPr>
              <w:t>Региональная политика и развитие гражданского общества в муниципальном образовании Северский муниципальный</w:t>
            </w:r>
          </w:p>
          <w:p>
            <w:pPr>
              <w:pStyle w:val="Standard"/>
              <w:rPr/>
            </w:pPr>
            <w:r>
              <w:rPr>
                <w:sz w:val="28"/>
                <w:szCs w:val="28"/>
                <w:lang w:eastAsia="en-US"/>
              </w:rPr>
              <w:t>район Краснодарского края</w:t>
            </w:r>
            <w:r>
              <w:rPr>
                <w:bCs/>
                <w:sz w:val="28"/>
                <w:szCs w:val="28"/>
                <w:lang w:eastAsia="en-US"/>
              </w:rPr>
              <w:t>»</w:t>
            </w:r>
          </w:p>
          <w:p>
            <w:pPr>
              <w:pStyle w:val="Standard"/>
              <w:jc w:val="center"/>
              <w:rPr/>
            </w:pPr>
            <w:r>
              <w:rPr/>
            </w:r>
          </w:p>
        </w:tc>
      </w:tr>
    </w:tbl>
    <w:p>
      <w:pPr>
        <w:pStyle w:val="Standard"/>
        <w:widowControl w:val="false"/>
        <w:tabs>
          <w:tab w:val="clear" w:pos="708"/>
          <w:tab w:val="left" w:pos="500" w:leader="none"/>
        </w:tabs>
        <w:rPr>
          <w:b/>
          <w:sz w:val="28"/>
        </w:rPr>
      </w:pPr>
      <w:r>
        <w:rPr>
          <w:b/>
          <w:sz w:val="28"/>
        </w:rPr>
      </w:r>
    </w:p>
    <w:p>
      <w:pPr>
        <w:pStyle w:val="Standard"/>
        <w:widowControl w:val="false"/>
        <w:tabs>
          <w:tab w:val="clear" w:pos="708"/>
          <w:tab w:val="left" w:pos="500" w:leader="none"/>
        </w:tabs>
        <w:rPr>
          <w:b/>
          <w:sz w:val="28"/>
        </w:rPr>
      </w:pPr>
      <w:r>
        <w:rPr>
          <w:b/>
          <w:sz w:val="28"/>
        </w:rPr>
      </w:r>
    </w:p>
    <w:p>
      <w:pPr>
        <w:pStyle w:val="Standard"/>
        <w:widowControl w:val="false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Муниципальная подпрограмма</w:t>
      </w:r>
    </w:p>
    <w:p>
      <w:pPr>
        <w:pStyle w:val="Normal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муниципального образования Северский муниципальный район Краснодарского края «Поддержка религиозных </w:t>
      </w:r>
    </w:p>
    <w:p>
      <w:pPr>
        <w:pStyle w:val="Normal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lang w:eastAsia="en-US"/>
        </w:rPr>
        <w:t>организаций традиционных конфессий в Северском районе»</w:t>
      </w:r>
    </w:p>
    <w:p>
      <w:pPr>
        <w:pStyle w:val="Standard"/>
        <w:widowControl w:val="false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Паспорт</w:t>
      </w:r>
    </w:p>
    <w:p>
      <w:pPr>
        <w:pStyle w:val="Normal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муниципальной подпрограммы </w:t>
      </w:r>
    </w:p>
    <w:p>
      <w:pPr>
        <w:pStyle w:val="Normal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муниципального образования Северский муниципальный район Краснодарского края «Поддержка религиозных </w:t>
      </w:r>
    </w:p>
    <w:p>
      <w:pPr>
        <w:pStyle w:val="Normal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организаций традиционных конфессий в Северском районе</w:t>
      </w:r>
      <w:r>
        <w:rPr>
          <w:b/>
          <w:bCs/>
          <w:sz w:val="28"/>
          <w:szCs w:val="28"/>
        </w:rPr>
        <w:t>»</w:t>
      </w:r>
    </w:p>
    <w:p>
      <w:pPr>
        <w:pStyle w:val="Standard"/>
        <w:widowControl w:val="false"/>
        <w:jc w:val="center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9571" w:type="dxa"/>
        <w:jc w:val="left"/>
        <w:tblInd w:w="-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725"/>
        <w:gridCol w:w="5845"/>
      </w:tblGrid>
      <w:tr>
        <w:trPr>
          <w:trHeight w:val="1331" w:hRule="atLeast"/>
        </w:trPr>
        <w:tc>
          <w:tcPr>
            <w:tcW w:w="3725" w:type="dxa"/>
            <w:tcBorders/>
          </w:tcPr>
          <w:p>
            <w:pPr>
              <w:pStyle w:val="Standar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муниципальной</w:t>
              <w:br/>
              <w:t>подпрограммы</w:t>
            </w:r>
          </w:p>
        </w:tc>
        <w:tc>
          <w:tcPr>
            <w:tcW w:w="5845" w:type="dxa"/>
            <w:tcBorders/>
          </w:tcPr>
          <w:p>
            <w:pPr>
              <w:pStyle w:val="Standard"/>
              <w:jc w:val="both"/>
              <w:rPr/>
            </w:pPr>
            <w:r>
              <w:rPr>
                <w:sz w:val="28"/>
                <w:szCs w:val="28"/>
              </w:rPr>
              <w:t>Поддержка религиозных организаций традиционных конфессий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 Северском районе (далее - подпрограмма).</w:t>
            </w:r>
          </w:p>
          <w:p>
            <w:pPr>
              <w:pStyle w:val="Standard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>
          <w:trHeight w:val="855" w:hRule="atLeast"/>
        </w:trPr>
        <w:tc>
          <w:tcPr>
            <w:tcW w:w="3725" w:type="dxa"/>
            <w:tcBorders/>
          </w:tcPr>
          <w:p>
            <w:pPr>
              <w:pStyle w:val="Standar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Координатор муниципальной подпрограммы</w:t>
            </w:r>
          </w:p>
        </w:tc>
        <w:tc>
          <w:tcPr>
            <w:tcW w:w="5845" w:type="dxa"/>
            <w:tcBorders/>
          </w:tcPr>
          <w:p>
            <w:pPr>
              <w:pStyle w:val="Standard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управление по связям с общественностью администрации муниципального образования Северский </w:t>
            </w:r>
            <w:bookmarkStart w:id="0" w:name="_Hlk204953922"/>
            <w:r>
              <w:rPr>
                <w:sz w:val="28"/>
                <w:szCs w:val="28"/>
              </w:rPr>
              <w:t>муниципальный район</w:t>
            </w:r>
            <w:bookmarkEnd w:id="0"/>
            <w:r>
              <w:rPr>
                <w:sz w:val="28"/>
                <w:szCs w:val="28"/>
              </w:rPr>
              <w:t xml:space="preserve"> Краснодарского края (далее - управление по связям с общественностью).</w:t>
            </w:r>
          </w:p>
          <w:p>
            <w:pPr>
              <w:pStyle w:val="Standard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3725" w:type="dxa"/>
            <w:tcBorders/>
          </w:tcPr>
          <w:p>
            <w:pPr>
              <w:pStyle w:val="Standard"/>
              <w:rPr/>
            </w:pPr>
            <w:r>
              <w:rPr>
                <w:color w:val="000000"/>
                <w:sz w:val="28"/>
                <w:szCs w:val="28"/>
              </w:rPr>
              <w:t xml:space="preserve">Иные исполнители отдельных мероприятий </w:t>
            </w:r>
            <w:r>
              <w:rPr>
                <w:sz w:val="28"/>
                <w:szCs w:val="28"/>
              </w:rPr>
              <w:t>муниципальной</w:t>
            </w:r>
            <w:r>
              <w:rPr>
                <w:color w:val="000000"/>
                <w:sz w:val="28"/>
                <w:szCs w:val="28"/>
              </w:rPr>
              <w:t xml:space="preserve"> п</w:t>
            </w:r>
            <w:r>
              <w:rPr>
                <w:sz w:val="28"/>
                <w:szCs w:val="28"/>
              </w:rPr>
              <w:t>одпрограммы</w:t>
            </w:r>
          </w:p>
        </w:tc>
        <w:tc>
          <w:tcPr>
            <w:tcW w:w="5845" w:type="dxa"/>
            <w:tcBorders/>
          </w:tcPr>
          <w:p>
            <w:pPr>
              <w:pStyle w:val="Standard"/>
              <w:widowControl w:val="false"/>
              <w:jc w:val="both"/>
              <w:rPr/>
            </w:pPr>
            <w:r>
              <w:rPr>
                <w:color w:val="000000"/>
                <w:sz w:val="28"/>
                <w:szCs w:val="28"/>
              </w:rPr>
              <w:t xml:space="preserve">Структурные подразделения администрации муниципального образования Северский </w:t>
            </w:r>
            <w:r>
              <w:rPr>
                <w:sz w:val="28"/>
                <w:szCs w:val="28"/>
              </w:rPr>
              <w:t>муниципальный район Краснодарского края</w:t>
            </w:r>
            <w:r>
              <w:rPr>
                <w:color w:val="000000"/>
                <w:sz w:val="28"/>
                <w:szCs w:val="28"/>
              </w:rPr>
              <w:t>;</w:t>
            </w:r>
          </w:p>
          <w:p>
            <w:pPr>
              <w:pStyle w:val="Standard"/>
              <w:widowControl w:val="false"/>
              <w:jc w:val="both"/>
              <w:rPr/>
            </w:pPr>
            <w:r>
              <w:rPr>
                <w:sz w:val="28"/>
                <w:szCs w:val="28"/>
              </w:rPr>
              <w:t>религиозные организации Северского района (по согласованию);</w:t>
            </w:r>
          </w:p>
          <w:p>
            <w:pPr>
              <w:pStyle w:val="Standard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 городских и сельских поселений Северского района (по согласованию).</w:t>
            </w:r>
          </w:p>
          <w:p>
            <w:pPr>
              <w:pStyle w:val="Standard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3725" w:type="dxa"/>
            <w:tcBorders/>
          </w:tcPr>
          <w:p>
            <w:pPr>
              <w:pStyle w:val="Standard"/>
              <w:rPr/>
            </w:pPr>
            <w:r>
              <w:rPr>
                <w:sz w:val="28"/>
                <w:szCs w:val="28"/>
              </w:rPr>
              <w:t>Ц</w:t>
            </w:r>
            <w:r>
              <w:rPr>
                <w:color w:val="000000"/>
                <w:sz w:val="28"/>
                <w:szCs w:val="28"/>
              </w:rPr>
              <w:t xml:space="preserve">ели </w:t>
            </w:r>
            <w:r>
              <w:rPr>
                <w:sz w:val="28"/>
                <w:szCs w:val="28"/>
              </w:rPr>
              <w:t>муниципальной</w:t>
            </w:r>
          </w:p>
          <w:p>
            <w:pPr>
              <w:pStyle w:val="Standar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</w:t>
            </w:r>
          </w:p>
        </w:tc>
        <w:tc>
          <w:tcPr>
            <w:tcW w:w="5845" w:type="dxa"/>
            <w:tcBorders/>
          </w:tcPr>
          <w:p>
            <w:pPr>
              <w:pStyle w:val="Standard"/>
              <w:jc w:val="both"/>
              <w:rPr>
                <w:rFonts w:eastAsia="MinionPro-Regular"/>
                <w:sz w:val="28"/>
                <w:szCs w:val="28"/>
              </w:rPr>
            </w:pPr>
            <w:r>
              <w:rPr>
                <w:rFonts w:eastAsia="MinionPro-Regular"/>
                <w:sz w:val="28"/>
                <w:szCs w:val="28"/>
              </w:rPr>
              <w:t>содействие религиозным организациям</w:t>
            </w:r>
            <w:r>
              <w:rPr>
                <w:sz w:val="28"/>
                <w:szCs w:val="28"/>
              </w:rPr>
              <w:t xml:space="preserve"> традиционных конфессий</w:t>
            </w:r>
            <w:r>
              <w:rPr>
                <w:rFonts w:eastAsia="MinionPro-Regular"/>
                <w:sz w:val="28"/>
                <w:szCs w:val="28"/>
              </w:rPr>
              <w:t xml:space="preserve"> по решению</w:t>
            </w:r>
            <w:r>
              <w:rPr>
                <w:rFonts w:eastAsia="MinionPro-Regular"/>
                <w:sz w:val="28"/>
                <w:szCs w:val="28"/>
                <w:shd w:fill="00FF00" w:val="clear"/>
              </w:rPr>
              <w:t xml:space="preserve"> </w:t>
            </w:r>
            <w:r>
              <w:rPr>
                <w:rFonts w:eastAsia="MinionPro-Regular"/>
                <w:sz w:val="28"/>
                <w:szCs w:val="28"/>
              </w:rPr>
              <w:t>социально-значимых проблем Северского района</w:t>
            </w:r>
          </w:p>
          <w:p>
            <w:pPr>
              <w:pStyle w:val="Standard"/>
              <w:jc w:val="both"/>
              <w:rPr/>
            </w:pPr>
            <w:r>
              <w:rPr/>
            </w:r>
          </w:p>
        </w:tc>
      </w:tr>
      <w:tr>
        <w:trPr/>
        <w:tc>
          <w:tcPr>
            <w:tcW w:w="3725" w:type="dxa"/>
            <w:tcBorders/>
          </w:tcPr>
          <w:p>
            <w:pPr>
              <w:pStyle w:val="Standar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Задачи муниципальной</w:t>
            </w:r>
          </w:p>
          <w:p>
            <w:pPr>
              <w:pStyle w:val="Standar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</w:t>
            </w:r>
          </w:p>
        </w:tc>
        <w:tc>
          <w:tcPr>
            <w:tcW w:w="5845" w:type="dxa"/>
            <w:tcBorders/>
          </w:tcPr>
          <w:p>
            <w:pPr>
              <w:pStyle w:val="Standard"/>
              <w:widowControl w:val="false"/>
              <w:jc w:val="both"/>
              <w:rPr/>
            </w:pPr>
            <w:r>
              <w:rPr>
                <w:sz w:val="28"/>
                <w:szCs w:val="28"/>
              </w:rPr>
              <w:t xml:space="preserve">укрепление сотрудничества </w:t>
            </w:r>
            <w:r>
              <w:rPr>
                <w:rFonts w:eastAsia="MinionPro-Regular"/>
                <w:sz w:val="28"/>
                <w:szCs w:val="28"/>
              </w:rPr>
              <w:t>органов местного самоуправления Северского района с религиозными организациями традиционных конфессий,</w:t>
            </w:r>
            <w:r>
              <w:rPr>
                <w:sz w:val="28"/>
                <w:szCs w:val="28"/>
              </w:rPr>
              <w:t xml:space="preserve"> осуществляющими свою деятельность на территории района;</w:t>
            </w:r>
          </w:p>
          <w:p>
            <w:pPr>
              <w:pStyle w:val="Standard"/>
              <w:jc w:val="both"/>
              <w:rPr>
                <w:rFonts w:eastAsia="MinionPro-Regular"/>
                <w:sz w:val="28"/>
                <w:szCs w:val="28"/>
              </w:rPr>
            </w:pPr>
            <w:r>
              <w:rPr>
                <w:rFonts w:eastAsia="MinionPro-Regular"/>
                <w:sz w:val="28"/>
                <w:szCs w:val="28"/>
              </w:rPr>
              <w:t>предотвращение конфликтных ситуаций между различными религиозными конфессиями посредством проведения мероприятий в общественно - политической и социальной сферах;</w:t>
            </w:r>
          </w:p>
          <w:p>
            <w:pPr>
              <w:pStyle w:val="Standard"/>
              <w:jc w:val="both"/>
              <w:rPr>
                <w:rFonts w:eastAsia="MinionPro-Regular"/>
                <w:sz w:val="28"/>
                <w:szCs w:val="28"/>
              </w:rPr>
            </w:pPr>
            <w:r>
              <w:rPr>
                <w:rFonts w:eastAsia="MinionPro-Regular"/>
                <w:sz w:val="28"/>
                <w:szCs w:val="28"/>
              </w:rPr>
              <w:t>воспитание гражданственности и патриотизма населения, сохранение традиций, культуры и языка населения Кубани;</w:t>
            </w:r>
          </w:p>
          <w:p>
            <w:pPr>
              <w:pStyle w:val="Standard"/>
              <w:jc w:val="both"/>
              <w:rPr>
                <w:rFonts w:eastAsia="MinionPro-Regular"/>
                <w:sz w:val="28"/>
                <w:szCs w:val="28"/>
              </w:rPr>
            </w:pPr>
            <w:r>
              <w:rPr>
                <w:rFonts w:eastAsia="MinionPro-Regular"/>
                <w:sz w:val="28"/>
                <w:szCs w:val="28"/>
              </w:rPr>
              <w:t>повышение исторической значимости православия как основополагающей конфессии Кубани;</w:t>
            </w:r>
          </w:p>
          <w:p>
            <w:pPr>
              <w:pStyle w:val="user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общественных инициатив и целевых проектов религиозных организаций традиционных конфессий, направленных на духовно-нравственное развитие жителей Северского района;</w:t>
            </w:r>
          </w:p>
          <w:p>
            <w:pPr>
              <w:pStyle w:val="Standard"/>
              <w:widowControl w:val="false"/>
              <w:ind w:left="-57" w:right="340"/>
              <w:jc w:val="both"/>
              <w:rPr/>
            </w:pPr>
            <w:r>
              <w:rPr>
                <w:sz w:val="28"/>
                <w:szCs w:val="28"/>
              </w:rPr>
              <w:t>информирование населения о деятельности и поддержке религиозных организаций традиционных конфессий через средства массовой информаци</w:t>
            </w:r>
            <w:r>
              <w:rPr/>
              <w:t xml:space="preserve">и и </w:t>
            </w:r>
            <w:r>
              <w:rPr>
                <w:sz w:val="28"/>
                <w:szCs w:val="28"/>
              </w:rPr>
              <w:t>печатные материалы.</w:t>
            </w:r>
          </w:p>
          <w:p>
            <w:pPr>
              <w:pStyle w:val="Standard"/>
              <w:ind w:right="-5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W w:w="3725" w:type="dxa"/>
            <w:tcBorders/>
          </w:tcPr>
          <w:p>
            <w:pPr>
              <w:pStyle w:val="Standard"/>
              <w:rPr/>
            </w:pPr>
            <w:r>
              <w:rPr>
                <w:color w:val="000000"/>
                <w:sz w:val="28"/>
                <w:szCs w:val="28"/>
              </w:rPr>
              <w:t xml:space="preserve">Перечень целевых показателей </w:t>
            </w:r>
            <w:r>
              <w:rPr>
                <w:sz w:val="28"/>
                <w:szCs w:val="28"/>
              </w:rPr>
              <w:t>муниципальной</w:t>
            </w:r>
            <w:r>
              <w:rPr>
                <w:color w:val="000000"/>
                <w:sz w:val="28"/>
                <w:szCs w:val="28"/>
              </w:rPr>
              <w:t xml:space="preserve"> подпрограммы</w:t>
            </w:r>
          </w:p>
        </w:tc>
        <w:tc>
          <w:tcPr>
            <w:tcW w:w="5845" w:type="dxa"/>
            <w:tcBorders/>
          </w:tcPr>
          <w:p>
            <w:pPr>
              <w:pStyle w:val="Standard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охват граждан, проживающих на территории Северского района, принявших участие в реализации мероприятий подпрограммы.</w:t>
            </w:r>
          </w:p>
          <w:p>
            <w:pPr>
              <w:pStyle w:val="Standard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3725" w:type="dxa"/>
            <w:tcBorders/>
          </w:tcPr>
          <w:p>
            <w:pPr>
              <w:pStyle w:val="Standard"/>
              <w:rPr/>
            </w:pPr>
            <w:r>
              <w:rPr>
                <w:color w:val="000000"/>
                <w:sz w:val="28"/>
                <w:szCs w:val="28"/>
              </w:rPr>
              <w:t xml:space="preserve">Этапы и сроки реализации </w:t>
            </w:r>
            <w:r>
              <w:rPr>
                <w:sz w:val="28"/>
                <w:szCs w:val="28"/>
              </w:rPr>
              <w:t>муниципальной</w:t>
            </w:r>
            <w:r>
              <w:rPr>
                <w:color w:val="000000"/>
                <w:sz w:val="28"/>
                <w:szCs w:val="28"/>
              </w:rPr>
              <w:t xml:space="preserve"> п</w:t>
            </w:r>
            <w:r>
              <w:rPr>
                <w:sz w:val="28"/>
                <w:szCs w:val="28"/>
              </w:rPr>
              <w:t>одпрограммы</w:t>
            </w:r>
          </w:p>
          <w:p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5845" w:type="dxa"/>
            <w:tcBorders/>
          </w:tcPr>
          <w:p>
            <w:pPr>
              <w:pStyle w:val="Standard"/>
              <w:jc w:val="both"/>
              <w:rPr/>
            </w:pPr>
            <w:r>
              <w:rPr>
                <w:sz w:val="28"/>
                <w:szCs w:val="28"/>
              </w:rPr>
              <w:t>2027 – 2029 годы, этапы не предусмотрены.</w:t>
            </w:r>
          </w:p>
          <w:p>
            <w:pPr>
              <w:pStyle w:val="Standard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Standard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3725" w:type="dxa"/>
            <w:tcBorders/>
          </w:tcPr>
          <w:p>
            <w:pPr>
              <w:pStyle w:val="Standard"/>
              <w:rPr/>
            </w:pPr>
            <w:r>
              <w:rPr>
                <w:color w:val="000000"/>
                <w:sz w:val="28"/>
                <w:szCs w:val="28"/>
              </w:rPr>
              <w:t xml:space="preserve">Объем и источники финансирования </w:t>
            </w:r>
            <w:r>
              <w:rPr>
                <w:sz w:val="28"/>
                <w:szCs w:val="28"/>
              </w:rPr>
              <w:t>муниципальной</w:t>
            </w:r>
            <w:r>
              <w:rPr>
                <w:color w:val="000000"/>
                <w:sz w:val="28"/>
                <w:szCs w:val="28"/>
              </w:rPr>
              <w:t xml:space="preserve"> п</w:t>
            </w:r>
            <w:r>
              <w:rPr>
                <w:sz w:val="28"/>
                <w:szCs w:val="28"/>
              </w:rPr>
              <w:t>одпрограммы</w:t>
            </w:r>
          </w:p>
        </w:tc>
        <w:tc>
          <w:tcPr>
            <w:tcW w:w="5845" w:type="dxa"/>
            <w:tcBorders/>
          </w:tcPr>
          <w:p>
            <w:pPr>
              <w:pStyle w:val="Standard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 за счет средств местного бюджета 600,0 тыс. рублей, из них по годам:</w:t>
            </w:r>
          </w:p>
          <w:p>
            <w:pPr>
              <w:pStyle w:val="Standard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2027 год — 200,0 тыс. рублей;</w:t>
            </w:r>
          </w:p>
          <w:p>
            <w:pPr>
              <w:pStyle w:val="Standard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2028 год — 200,0 тыс. рублей;</w:t>
            </w:r>
          </w:p>
          <w:p>
            <w:pPr>
              <w:pStyle w:val="Standard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2029 год — 200,0 тыс. рублей.</w:t>
            </w:r>
          </w:p>
        </w:tc>
      </w:tr>
      <w:tr>
        <w:trPr/>
        <w:tc>
          <w:tcPr>
            <w:tcW w:w="3725" w:type="dxa"/>
            <w:tcBorders/>
          </w:tcPr>
          <w:p>
            <w:pPr>
              <w:pStyle w:val="Standar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 за выполнением муниципальной подпрограммы</w:t>
            </w:r>
          </w:p>
        </w:tc>
        <w:tc>
          <w:tcPr>
            <w:tcW w:w="5845" w:type="dxa"/>
            <w:tcBorders/>
          </w:tcPr>
          <w:p>
            <w:pPr>
              <w:pStyle w:val="Standard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по связям с общественностью.</w:t>
            </w:r>
          </w:p>
        </w:tc>
      </w:tr>
    </w:tbl>
    <w:p>
      <w:pPr>
        <w:pStyle w:val="Standard"/>
        <w:widowControl w:val="false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andard"/>
        <w:widowControl w:val="false"/>
        <w:ind w:hanging="1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1. Характеристика текущего состояния и прогноз развития соответствующей сферы реализации </w:t>
      </w:r>
    </w:p>
    <w:p>
      <w:pPr>
        <w:pStyle w:val="Standard"/>
        <w:widowControl w:val="false"/>
        <w:ind w:hanging="17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муниципальной подпрограммы</w:t>
      </w:r>
    </w:p>
    <w:p>
      <w:pPr>
        <w:pStyle w:val="Standard"/>
        <w:widowControl w:val="false"/>
        <w:ind w:left="-17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Standard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 территории муниципального образования Северский муниципальный район Краснодарского края проживает более 120 тысяч человек. В городских и сельских поселениях района свою деятельность осуществляют 13 православных приходов Екатеринодарской и Кубанской епархии Русской Православной Церкви.</w:t>
      </w:r>
    </w:p>
    <w:p>
      <w:pPr>
        <w:pStyle w:val="Standard"/>
        <w:ind w:firstLine="708"/>
        <w:jc w:val="both"/>
        <w:rPr/>
      </w:pPr>
      <w:r>
        <w:rPr>
          <w:rFonts w:eastAsia="MinionPro-Regular"/>
          <w:sz w:val="28"/>
          <w:szCs w:val="28"/>
        </w:rPr>
        <w:t xml:space="preserve">Учитывая историческую значимость и социальный вклад православия в развитие Северского района, принимая во внимание особую роль православия в истории Кубани, необходима поддержка становления </w:t>
      </w:r>
      <w:r>
        <w:rPr>
          <w:sz w:val="28"/>
          <w:szCs w:val="28"/>
        </w:rPr>
        <w:t xml:space="preserve">духовности, нравственности, культуры и восстановления вековых традиций православия и казачества </w:t>
      </w:r>
      <w:r>
        <w:rPr>
          <w:rFonts w:eastAsia="MinionPro-Regular"/>
          <w:sz w:val="28"/>
          <w:szCs w:val="28"/>
        </w:rPr>
        <w:t>в Северском районе.</w:t>
      </w:r>
    </w:p>
    <w:p>
      <w:pPr>
        <w:pStyle w:val="Standard"/>
        <w:ind w:firstLine="708"/>
        <w:jc w:val="both"/>
        <w:rPr/>
      </w:pPr>
      <w:r>
        <w:rPr>
          <w:sz w:val="28"/>
          <w:szCs w:val="28"/>
        </w:rPr>
        <w:t xml:space="preserve">Стабильность межконфессиональных отношений является одним из важнейших факторов, определяющих перспективы социально-экономического развития района. Взаимопонимание, терпимость и уважение в вопросах свободы вероисповедания способствуют </w:t>
      </w:r>
      <w:r>
        <w:rPr>
          <w:rFonts w:eastAsia="MinionPro-Regular"/>
          <w:sz w:val="28"/>
          <w:szCs w:val="28"/>
        </w:rPr>
        <w:t>предотвращению конфликтных ситуаций и других негативных процессов, возникающих по религиозным причинам.</w:t>
      </w:r>
    </w:p>
    <w:p>
      <w:pPr>
        <w:pStyle w:val="Standard"/>
        <w:widowControl w:val="false"/>
        <w:tabs>
          <w:tab w:val="clear" w:pos="708"/>
          <w:tab w:val="left" w:pos="1070" w:leader="none"/>
        </w:tabs>
        <w:ind w:firstLine="709"/>
        <w:jc w:val="both"/>
        <w:rPr/>
      </w:pPr>
      <w:r>
        <w:rPr>
          <w:sz w:val="28"/>
          <w:szCs w:val="28"/>
        </w:rPr>
        <w:t>Разработка п</w:t>
      </w:r>
      <w:r>
        <w:rPr>
          <w:color w:val="000000"/>
          <w:sz w:val="28"/>
          <w:szCs w:val="28"/>
        </w:rPr>
        <w:t xml:space="preserve">одпрограммы </w:t>
      </w:r>
      <w:r>
        <w:rPr>
          <w:sz w:val="28"/>
          <w:szCs w:val="28"/>
        </w:rPr>
        <w:t>вызвана необходимостью поддержки стабильной общественно-политической ситуации на территории муниципального образования Северский муниципальный район, в частности, в сфере межконфессиональных отношений.</w:t>
      </w:r>
    </w:p>
    <w:p>
      <w:pPr>
        <w:pStyle w:val="Standard"/>
        <w:ind w:firstLine="708"/>
        <w:jc w:val="both"/>
        <w:rPr/>
      </w:pPr>
      <w:r>
        <w:rPr>
          <w:sz w:val="28"/>
          <w:szCs w:val="28"/>
        </w:rPr>
        <w:t xml:space="preserve">В подпрограмме особое внимание уделяется формам и методам деятельности религиозных организаций традиционных конфессий по привлечению молодежи к изучению народных традиций, воспитанию </w:t>
      </w:r>
      <w:r>
        <w:rPr>
          <w:rFonts w:eastAsia="MinionPro-Regular"/>
          <w:sz w:val="28"/>
          <w:szCs w:val="28"/>
        </w:rPr>
        <w:t xml:space="preserve">гражданственности и патриотизма, по реализации </w:t>
      </w:r>
      <w:r>
        <w:rPr>
          <w:sz w:val="28"/>
          <w:szCs w:val="28"/>
        </w:rPr>
        <w:t>мероприятий в части сохранения объектов культурного наследия, расположенных на территории района.</w:t>
      </w:r>
    </w:p>
    <w:p>
      <w:pPr>
        <w:pStyle w:val="Standard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Социально-экономический эффект от реализации подпрограммы выражается в:</w:t>
      </w:r>
    </w:p>
    <w:p>
      <w:pPr>
        <w:pStyle w:val="Standard"/>
        <w:ind w:firstLine="708" w:right="-27"/>
        <w:jc w:val="both"/>
        <w:rPr>
          <w:sz w:val="28"/>
          <w:szCs w:val="28"/>
        </w:rPr>
      </w:pPr>
      <w:r>
        <w:rPr>
          <w:sz w:val="28"/>
          <w:szCs w:val="28"/>
        </w:rPr>
        <w:t>- формировании механизма партнерских отношений между органами местного самоуправления Северского района и религиозными организациями традиционных конфессий, занимающими активную позицию в общественной жизни Северского района;</w:t>
      </w:r>
    </w:p>
    <w:p>
      <w:pPr>
        <w:pStyle w:val="Standard"/>
        <w:ind w:firstLine="708" w:right="-27"/>
        <w:jc w:val="both"/>
        <w:rPr>
          <w:sz w:val="28"/>
          <w:szCs w:val="28"/>
        </w:rPr>
      </w:pPr>
      <w:r>
        <w:rPr>
          <w:sz w:val="28"/>
          <w:szCs w:val="28"/>
        </w:rPr>
        <w:t>- формировании условий для духовно-нравственного развития населения района, повышения его гражданской активности;</w:t>
      </w:r>
    </w:p>
    <w:p>
      <w:pPr>
        <w:pStyle w:val="Standard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формировании условий по поддержке религиозных организаций традиционных конфессий, занимающихся развитием культуры, воспитанием духовного единства и нравственности жителей Северского района;</w:t>
      </w:r>
    </w:p>
    <w:p>
      <w:pPr>
        <w:pStyle w:val="Standard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формировании условий по оказанию содействия в сохранении объектов культурного наследия религиозного назначения, расположенных на территории района;</w:t>
      </w:r>
    </w:p>
    <w:p>
      <w:pPr>
        <w:pStyle w:val="Standard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результате реализации мероприятий подпрограммы ожидается достижение следующих показателей:</w:t>
      </w:r>
    </w:p>
    <w:p>
      <w:pPr>
        <w:pStyle w:val="Standard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повышение уровня терпимости жителей района к представителям иного вероисповедания (процент);</w:t>
      </w:r>
    </w:p>
    <w:p>
      <w:pPr>
        <w:pStyle w:val="Standard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повышение доли жителей Северского района, положительно оценивающих состояние партнерских отношений между органами местного самоуправления Северского района и религиозными организациями традиционных конфессий в общей численности населения района (процент).</w:t>
      </w:r>
    </w:p>
    <w:p>
      <w:pPr>
        <w:pStyle w:val="Standard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Количественные индикаторы данных показателей будут представлены по результатам проведенных социологических исследований (мониторинг, анкетирование, социальный опрос) в плановый период реализации мероприятий Подпрограммы.</w:t>
      </w:r>
    </w:p>
    <w:p>
      <w:pPr>
        <w:pStyle w:val="Standard"/>
        <w:ind w:firstLine="709" w:right="-1"/>
        <w:jc w:val="both"/>
        <w:rPr>
          <w:sz w:val="28"/>
          <w:szCs w:val="28"/>
        </w:rPr>
      </w:pPr>
      <w:r>
        <w:rPr>
          <w:sz w:val="28"/>
          <w:szCs w:val="28"/>
        </w:rPr>
        <w:t>Эффективность реализации мероприятий подпрограммы обеспечит осуществление позитивных изменений в следующих вопросах:</w:t>
      </w:r>
    </w:p>
    <w:p>
      <w:pPr>
        <w:pStyle w:val="Standard"/>
        <w:ind w:firstLine="708" w:right="-27"/>
        <w:jc w:val="both"/>
        <w:rPr>
          <w:sz w:val="28"/>
          <w:szCs w:val="28"/>
        </w:rPr>
      </w:pPr>
      <w:r>
        <w:rPr>
          <w:sz w:val="28"/>
          <w:szCs w:val="28"/>
        </w:rPr>
        <w:t>- формирование механизма партнерских отношений между органами местного самоуправления Северского района и религиозными организациями традиционных конфессий, занимающими активную позицию в общественной жизни района;</w:t>
      </w:r>
    </w:p>
    <w:p>
      <w:pPr>
        <w:pStyle w:val="Standard"/>
        <w:ind w:firstLine="708" w:right="-27"/>
        <w:jc w:val="both"/>
        <w:rPr>
          <w:sz w:val="28"/>
          <w:szCs w:val="28"/>
        </w:rPr>
      </w:pPr>
      <w:r>
        <w:rPr>
          <w:sz w:val="28"/>
          <w:szCs w:val="28"/>
        </w:rPr>
        <w:t>- формирование условий для духовно-нравственного развития населения района, повышения его гражданской активности;</w:t>
      </w:r>
    </w:p>
    <w:p>
      <w:pPr>
        <w:pStyle w:val="Standard"/>
        <w:ind w:firstLine="708" w:right="-1"/>
        <w:jc w:val="both"/>
        <w:rPr>
          <w:sz w:val="28"/>
          <w:szCs w:val="28"/>
        </w:rPr>
      </w:pPr>
      <w:r>
        <w:rPr>
          <w:sz w:val="28"/>
          <w:szCs w:val="28"/>
        </w:rPr>
        <w:t>- формирование условий для поддержки религиозных организаций традиционных конфессий, занимающихся развитием культуры, воспитанием духовного единства и нравственности жителей Северского района.</w:t>
      </w:r>
    </w:p>
    <w:p>
      <w:pPr>
        <w:pStyle w:val="Textbodyindent"/>
        <w:tabs>
          <w:tab w:val="clear" w:pos="708"/>
          <w:tab w:val="left" w:pos="1070" w:leader="none"/>
        </w:tabs>
        <w:ind w:firstLine="709" w:left="0"/>
        <w:rPr/>
      </w:pPr>
      <w:r>
        <w:rPr>
          <w:sz w:val="28"/>
          <w:szCs w:val="28"/>
        </w:rPr>
        <w:t>Утверждение подпрограммы позволит укрепить успешное взаимодействие между органами местного самоуправления Северского района, религиозными организациями традиционных конфессий и населением района, что послужит залогом в решении поставленных задач.</w:t>
      </w:r>
    </w:p>
    <w:p>
      <w:pPr>
        <w:pStyle w:val="Standard"/>
        <w:ind w:firstLine="708" w:right="-1"/>
        <w:jc w:val="both"/>
        <w:rPr/>
      </w:pPr>
      <w:r>
        <w:rPr>
          <w:rFonts w:eastAsia="MinionPro-Regular"/>
          <w:sz w:val="28"/>
          <w:szCs w:val="28"/>
        </w:rPr>
        <w:t>Только при тесном совместном взаимодействии органов местного самоуправления и религиозных организаций традиционных конфессий можно решать проблемные вопросы такие как</w:t>
      </w:r>
      <w:r>
        <w:rPr>
          <w:sz w:val="28"/>
          <w:szCs w:val="28"/>
        </w:rPr>
        <w:t xml:space="preserve"> воспитание гражданственности, патриотизма, уважения к правам, свободам и обязанностям человека, формирование способности человека оценивать и сознательно выстраивать на основе традиционных моральных норм и нравственных идеалов отношения к себе, другим людям, обществу, государству, Отечеству, миру в целом</w:t>
      </w:r>
      <w:r>
        <w:rPr>
          <w:rFonts w:eastAsia="MinionPro-Regular"/>
          <w:sz w:val="28"/>
          <w:szCs w:val="28"/>
        </w:rPr>
        <w:t xml:space="preserve"> в интересах человека, семьи и общества.</w:t>
      </w:r>
      <w:r>
        <w:rPr>
          <w:rFonts w:eastAsia="MinionPro-Regular"/>
          <w:sz w:val="28"/>
          <w:szCs w:val="28"/>
          <w:shd w:fill="00FF00" w:val="clear"/>
        </w:rPr>
        <w:t xml:space="preserve"> </w:t>
      </w:r>
    </w:p>
    <w:p>
      <w:pPr>
        <w:pStyle w:val="Textbodyindent"/>
        <w:tabs>
          <w:tab w:val="clear" w:pos="708"/>
          <w:tab w:val="left" w:pos="1353" w:leader="none"/>
        </w:tabs>
        <w:ind w:hanging="0" w:left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andard"/>
        <w:widowControl w:val="false"/>
        <w:jc w:val="center"/>
        <w:rPr/>
      </w:pPr>
      <w:r>
        <w:rPr>
          <w:b/>
          <w:color w:val="000000"/>
          <w:sz w:val="28"/>
          <w:szCs w:val="28"/>
        </w:rPr>
        <w:t>2. Цели, задачи и целевые показатели достижения целей</w:t>
      </w:r>
    </w:p>
    <w:p>
      <w:pPr>
        <w:pStyle w:val="Standard"/>
        <w:widowControl w:val="false"/>
        <w:jc w:val="center"/>
        <w:rPr/>
      </w:pPr>
      <w:r>
        <w:rPr>
          <w:b/>
          <w:color w:val="000000"/>
          <w:sz w:val="28"/>
          <w:szCs w:val="28"/>
        </w:rPr>
        <w:t>и решения задач, сроки и этапы реализации подпрограммы</w:t>
      </w:r>
    </w:p>
    <w:p>
      <w:pPr>
        <w:pStyle w:val="Standard"/>
        <w:widowControl w:val="false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</w:r>
    </w:p>
    <w:p>
      <w:pPr>
        <w:pStyle w:val="Standard"/>
        <w:ind w:firstLine="708"/>
        <w:jc w:val="both"/>
        <w:rPr/>
      </w:pPr>
      <w:r>
        <w:rPr>
          <w:sz w:val="28"/>
          <w:szCs w:val="28"/>
        </w:rPr>
        <w:t>Ц</w:t>
      </w:r>
      <w:r>
        <w:rPr>
          <w:color w:val="000000"/>
          <w:sz w:val="28"/>
          <w:szCs w:val="28"/>
        </w:rPr>
        <w:t>ель подпрограммы:</w:t>
      </w:r>
    </w:p>
    <w:p>
      <w:pPr>
        <w:pStyle w:val="Standard"/>
        <w:ind w:firstLine="708"/>
        <w:jc w:val="both"/>
        <w:rPr/>
      </w:pPr>
      <w:r>
        <w:rPr>
          <w:rFonts w:eastAsia="MinionPro-Regular"/>
          <w:color w:val="000000"/>
          <w:sz w:val="28"/>
          <w:szCs w:val="28"/>
        </w:rPr>
        <w:t>с</w:t>
      </w:r>
      <w:r>
        <w:rPr>
          <w:rFonts w:eastAsia="MinionPro-Regular"/>
          <w:sz w:val="28"/>
          <w:szCs w:val="28"/>
        </w:rPr>
        <w:t>одействие религиозным организациям традиционных конфессий по решению социально-значимых проблем Северского района.</w:t>
      </w:r>
    </w:p>
    <w:p>
      <w:pPr>
        <w:pStyle w:val="Standard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Задачи подпрограммы:</w:t>
      </w:r>
    </w:p>
    <w:p>
      <w:pPr>
        <w:pStyle w:val="Standard"/>
        <w:widowControl w:val="false"/>
        <w:ind w:firstLine="708"/>
        <w:jc w:val="both"/>
        <w:rPr/>
      </w:pPr>
      <w:r>
        <w:rPr>
          <w:sz w:val="28"/>
          <w:szCs w:val="28"/>
        </w:rPr>
        <w:t xml:space="preserve">- укрепление сотрудничества </w:t>
      </w:r>
      <w:r>
        <w:rPr>
          <w:rFonts w:eastAsia="MinionPro-Regular"/>
          <w:sz w:val="28"/>
          <w:szCs w:val="28"/>
        </w:rPr>
        <w:t xml:space="preserve">органов местного самоуправления Северского района с религиозными организациями </w:t>
      </w:r>
      <w:r>
        <w:rPr>
          <w:sz w:val="28"/>
          <w:szCs w:val="28"/>
        </w:rPr>
        <w:t>традиционных конфессий</w:t>
      </w:r>
      <w:r>
        <w:rPr>
          <w:rFonts w:eastAsia="MinionPro-Regular"/>
          <w:sz w:val="28"/>
          <w:szCs w:val="28"/>
        </w:rPr>
        <w:t>,</w:t>
      </w:r>
      <w:r>
        <w:rPr>
          <w:sz w:val="28"/>
          <w:szCs w:val="28"/>
        </w:rPr>
        <w:t xml:space="preserve"> осуществляющими свою деятельность на территории района;</w:t>
      </w:r>
    </w:p>
    <w:p>
      <w:pPr>
        <w:pStyle w:val="Standard"/>
        <w:ind w:firstLine="708"/>
        <w:jc w:val="both"/>
        <w:rPr>
          <w:rFonts w:eastAsia="MinionPro-Regular"/>
          <w:sz w:val="28"/>
          <w:szCs w:val="28"/>
        </w:rPr>
      </w:pPr>
      <w:r>
        <w:rPr>
          <w:rFonts w:eastAsia="MinionPro-Regular"/>
          <w:sz w:val="28"/>
          <w:szCs w:val="28"/>
        </w:rPr>
        <w:t>- предотвращение конфликтных ситуаций между различными религиозными конфессиями посредством проведения мероприятий в общественно - политической и социальной сферах района;</w:t>
      </w:r>
    </w:p>
    <w:p>
      <w:pPr>
        <w:pStyle w:val="Standard"/>
        <w:widowControl w:val="false"/>
        <w:ind w:firstLine="708"/>
        <w:jc w:val="both"/>
        <w:rPr/>
      </w:pPr>
      <w:r>
        <w:rPr>
          <w:sz w:val="28"/>
          <w:szCs w:val="28"/>
        </w:rPr>
        <w:t>- в</w:t>
      </w:r>
      <w:r>
        <w:rPr>
          <w:rFonts w:eastAsia="MinionPro-Regular"/>
          <w:sz w:val="28"/>
          <w:szCs w:val="28"/>
        </w:rPr>
        <w:t>оспитание гражданственности и патриотизма населения, сохранение традиций, культуры и языка населения Кубани;</w:t>
      </w:r>
    </w:p>
    <w:p>
      <w:pPr>
        <w:pStyle w:val="Standard"/>
        <w:ind w:firstLine="708"/>
        <w:jc w:val="both"/>
        <w:rPr>
          <w:rFonts w:eastAsia="MinionPro-Regular"/>
          <w:sz w:val="28"/>
          <w:szCs w:val="28"/>
        </w:rPr>
      </w:pPr>
      <w:r>
        <w:rPr>
          <w:rFonts w:eastAsia="MinionPro-Regular"/>
          <w:sz w:val="28"/>
          <w:szCs w:val="28"/>
        </w:rPr>
        <w:t>- повышение исторической значимости православия как основополагающей конфессии Кубани;</w:t>
      </w:r>
    </w:p>
    <w:p>
      <w:pPr>
        <w:pStyle w:val="Standard"/>
        <w:ind w:firstLine="708"/>
        <w:jc w:val="both"/>
        <w:rPr>
          <w:rFonts w:eastAsia="MinionPro-Regular"/>
          <w:sz w:val="28"/>
          <w:szCs w:val="28"/>
        </w:rPr>
      </w:pPr>
      <w:r>
        <w:rPr>
          <w:rFonts w:eastAsia="MinionPro-Regular"/>
          <w:sz w:val="28"/>
          <w:szCs w:val="28"/>
        </w:rPr>
        <w:t>- поддержка общественных инициатив и целевых проектов религиозных организаций традиционных конфессий, направленных на духовно-нравственное развитие жителей Северского района;</w:t>
      </w:r>
    </w:p>
    <w:p>
      <w:pPr>
        <w:pStyle w:val="Standard"/>
        <w:widowControl w:val="false"/>
        <w:ind w:firstLine="708"/>
        <w:jc w:val="both"/>
        <w:rPr/>
      </w:pPr>
      <w:r>
        <w:rPr>
          <w:sz w:val="28"/>
          <w:szCs w:val="28"/>
        </w:rPr>
        <w:t>- информирование населения о деятельности и поддержке религиозных организаций традиционных конфессий через средства массовой информации и печатные материалы</w:t>
      </w:r>
      <w:r>
        <w:rPr>
          <w:color w:val="000000"/>
          <w:sz w:val="28"/>
          <w:szCs w:val="28"/>
        </w:rPr>
        <w:t>.</w:t>
      </w:r>
    </w:p>
    <w:p>
      <w:pPr>
        <w:pStyle w:val="Standard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Основными направлениями финансирования расходов, необходимых для реализации целей и задач, заявленных в подпрограмме, являются проведение семинаров, круглых столов, фестивалей и других культурных мероприятий, направленных на духовно-нравственное воспитание населения района, а также социологических исследований (мониторинг, анкетирование, социальный опрос) по итогам реализации мероприятий.</w:t>
      </w:r>
    </w:p>
    <w:p>
      <w:pPr>
        <w:pStyle w:val="Standard"/>
        <w:ind w:firstLine="709" w:right="-27"/>
        <w:jc w:val="both"/>
        <w:rPr/>
      </w:pPr>
      <w:r>
        <w:rPr>
          <w:color w:val="000000"/>
          <w:sz w:val="28"/>
          <w:szCs w:val="28"/>
        </w:rPr>
        <w:t>Сроки реализации п</w:t>
      </w:r>
      <w:r>
        <w:rPr>
          <w:sz w:val="28"/>
          <w:szCs w:val="28"/>
        </w:rPr>
        <w:t>одпрограммы</w:t>
      </w:r>
      <w:r>
        <w:rPr>
          <w:color w:val="000000"/>
          <w:sz w:val="28"/>
          <w:szCs w:val="28"/>
        </w:rPr>
        <w:t xml:space="preserve">: </w:t>
      </w:r>
      <w:r>
        <w:rPr>
          <w:sz w:val="28"/>
          <w:szCs w:val="28"/>
        </w:rPr>
        <w:t>2027 – 2029 годы, этапы не предусмотрены.</w:t>
      </w:r>
    </w:p>
    <w:p>
      <w:pPr>
        <w:pStyle w:val="Normal"/>
        <w:spacing w:lineRule="atLeast" w:line="100"/>
        <w:ind w:firstLine="708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sz w:val="28"/>
          <w:szCs w:val="28"/>
          <w:shd w:fill="auto" w:val="clear"/>
        </w:rPr>
        <w:t xml:space="preserve">Цели, задачи и целевые показатели подпрограммы приведены в     таблице </w:t>
      </w:r>
      <w:r>
        <w:rPr>
          <w:rFonts w:ascii="Times New Roman" w:hAnsi="Times New Roman"/>
          <w:sz w:val="28"/>
          <w:szCs w:val="28"/>
          <w:shd w:fill="auto" w:val="clear"/>
        </w:rPr>
        <w:t>№1</w:t>
      </w:r>
      <w:r>
        <w:rPr>
          <w:rFonts w:ascii="Times New Roman" w:hAnsi="Times New Roman"/>
          <w:sz w:val="28"/>
          <w:szCs w:val="28"/>
          <w:shd w:fill="auto" w:val="clear"/>
        </w:rPr>
        <w:t>:</w:t>
      </w:r>
    </w:p>
    <w:p>
      <w:pPr>
        <w:pStyle w:val="Standard"/>
        <w:ind w:firstLine="720" w:right="-27"/>
        <w:jc w:val="both"/>
        <w:rPr/>
      </w:pPr>
      <w:r>
        <w:rPr/>
      </w:r>
    </w:p>
    <w:tbl>
      <w:tblPr>
        <w:tblW w:w="9525" w:type="dxa"/>
        <w:jc w:val="left"/>
        <w:tblInd w:w="13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36"/>
        <w:gridCol w:w="4605"/>
        <w:gridCol w:w="754"/>
        <w:gridCol w:w="925"/>
        <w:gridCol w:w="965"/>
        <w:gridCol w:w="956"/>
        <w:gridCol w:w="783"/>
      </w:tblGrid>
      <w:tr>
        <w:trPr>
          <w:trHeight w:val="643" w:hRule="atLeast"/>
        </w:trPr>
        <w:tc>
          <w:tcPr>
            <w:tcW w:w="5141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andard"/>
              <w:jc w:val="center"/>
              <w:rPr/>
            </w:pPr>
            <w:r>
              <w:rPr/>
              <w:t>Наименование целевого показателя</w:t>
            </w:r>
          </w:p>
        </w:tc>
        <w:tc>
          <w:tcPr>
            <w:tcW w:w="75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andard"/>
              <w:jc w:val="center"/>
              <w:rPr/>
            </w:pPr>
            <w:r>
              <w:rPr/>
              <w:t>Ед. изм.</w:t>
            </w:r>
          </w:p>
        </w:tc>
        <w:tc>
          <w:tcPr>
            <w:tcW w:w="92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>
            <w:pPr>
              <w:pStyle w:val="Normal"/>
              <w:spacing w:lineRule="atLeast" w:line="100"/>
              <w:ind w:right="-11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Отчетный год (2025)</w:t>
            </w:r>
          </w:p>
        </w:tc>
        <w:tc>
          <w:tcPr>
            <w:tcW w:w="27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>
            <w:pPr>
              <w:pStyle w:val="Standard"/>
              <w:jc w:val="center"/>
              <w:rPr/>
            </w:pPr>
            <w:r>
              <w:rPr/>
              <w:t>Значение целевого показателя по годам:</w:t>
            </w:r>
          </w:p>
        </w:tc>
      </w:tr>
      <w:tr>
        <w:trPr>
          <w:trHeight w:val="491" w:hRule="atLeast"/>
        </w:trPr>
        <w:tc>
          <w:tcPr>
            <w:tcW w:w="5141" w:type="dxa"/>
            <w:gridSpan w:val="2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54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25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65" w:type="dxa"/>
            <w:tcBorders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>
            <w:pPr>
              <w:pStyle w:val="Standard"/>
              <w:jc w:val="center"/>
              <w:rPr>
                <w:lang w:val="en-US"/>
              </w:rPr>
            </w:pPr>
            <w:r>
              <w:rPr/>
              <w:t>202</w:t>
            </w:r>
            <w:r>
              <w:rPr>
                <w:lang w:val="en-US"/>
              </w:rPr>
              <w:t>7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" w:type="dxa"/>
              <w:right w:w="10" w:type="dxa"/>
            </w:tcMar>
          </w:tcPr>
          <w:p>
            <w:pPr>
              <w:pStyle w:val="Standard"/>
              <w:jc w:val="center"/>
              <w:rPr>
                <w:lang w:val="en-US"/>
              </w:rPr>
            </w:pPr>
            <w:r>
              <w:rPr/>
              <w:t>202</w:t>
            </w:r>
            <w:r>
              <w:rPr>
                <w:lang w:val="en-US"/>
              </w:rPr>
              <w:t>8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Standard"/>
              <w:jc w:val="center"/>
              <w:rPr>
                <w:lang w:val="en-US"/>
              </w:rPr>
            </w:pPr>
            <w:r>
              <w:rPr>
                <w:lang w:val="en-US"/>
              </w:rPr>
              <w:t>2029</w:t>
            </w:r>
          </w:p>
        </w:tc>
      </w:tr>
      <w:tr>
        <w:trPr/>
        <w:tc>
          <w:tcPr>
            <w:tcW w:w="5141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0"/>
            </w:tcBorders>
          </w:tcPr>
          <w:p>
            <w:pPr>
              <w:pStyle w:val="Standard"/>
              <w:snapToGrid w:val="false"/>
              <w:jc w:val="center"/>
              <w:rPr/>
            </w:pPr>
            <w:r>
              <w:rPr/>
              <w:t>1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</w:tcBorders>
          </w:tcPr>
          <w:p>
            <w:pPr>
              <w:pStyle w:val="Standard"/>
              <w:snapToGrid w:val="false"/>
              <w:jc w:val="center"/>
              <w:rPr/>
            </w:pPr>
            <w:r>
              <w:rPr/>
              <w:t>2</w:t>
            </w:r>
          </w:p>
        </w:tc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</w:tcBorders>
          </w:tcPr>
          <w:p>
            <w:pPr>
              <w:pStyle w:val="Standard"/>
              <w:snapToGrid w:val="false"/>
              <w:jc w:val="center"/>
              <w:rPr/>
            </w:pPr>
            <w:r>
              <w:rPr/>
              <w:t>3</w:t>
            </w:r>
          </w:p>
        </w:tc>
        <w:tc>
          <w:tcPr>
            <w:tcW w:w="96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left w:w="10" w:type="dxa"/>
              <w:right w:w="10" w:type="dxa"/>
            </w:tcMar>
          </w:tcPr>
          <w:p>
            <w:pPr>
              <w:pStyle w:val="Standard"/>
              <w:jc w:val="center"/>
              <w:rPr/>
            </w:pPr>
            <w:r>
              <w:rPr/>
              <w:t>4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tcMar>
              <w:left w:w="10" w:type="dxa"/>
              <w:right w:w="10" w:type="dxa"/>
            </w:tcMar>
          </w:tcPr>
          <w:p>
            <w:pPr>
              <w:pStyle w:val="Standard"/>
              <w:jc w:val="center"/>
              <w:rPr/>
            </w:pPr>
            <w:r>
              <w:rPr/>
              <w:t>5</w:t>
            </w:r>
          </w:p>
        </w:tc>
        <w:tc>
          <w:tcPr>
            <w:tcW w:w="7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Standard"/>
              <w:jc w:val="center"/>
              <w:rPr/>
            </w:pPr>
            <w:r>
              <w:rPr/>
              <w:t>6</w:t>
            </w:r>
          </w:p>
        </w:tc>
      </w:tr>
      <w:tr>
        <w:trPr/>
        <w:tc>
          <w:tcPr>
            <w:tcW w:w="952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подпрограмма «Поддержка религиозных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организаций традиционных</w:t>
            </w:r>
          </w:p>
          <w:p>
            <w:pPr>
              <w:pStyle w:val="Normal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конфессий в Северском районе»</w:t>
            </w:r>
          </w:p>
        </w:tc>
      </w:tr>
      <w:tr>
        <w:trPr/>
        <w:tc>
          <w:tcPr>
            <w:tcW w:w="9524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andard"/>
              <w:jc w:val="both"/>
              <w:rPr/>
            </w:pPr>
            <w:r>
              <w:rPr>
                <w:rFonts w:eastAsia="MinionPro-Regular"/>
              </w:rPr>
              <w:t>Цель: содействие религиозным организациям</w:t>
            </w:r>
            <w:r>
              <w:rPr/>
              <w:t xml:space="preserve"> традиционных конфессий</w:t>
            </w:r>
            <w:r>
              <w:rPr>
                <w:rFonts w:eastAsia="MinionPro-Regular"/>
              </w:rPr>
              <w:t xml:space="preserve"> по решению социально-значимых проблем Северского района</w:t>
            </w:r>
          </w:p>
        </w:tc>
      </w:tr>
      <w:tr>
        <w:trPr/>
        <w:tc>
          <w:tcPr>
            <w:tcW w:w="9524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andard"/>
              <w:widowControl w:val="false"/>
              <w:jc w:val="both"/>
              <w:rPr/>
            </w:pPr>
            <w:r>
              <w:rPr/>
              <w:t xml:space="preserve">Задачи: укрепление сотрудничества </w:t>
            </w:r>
            <w:r>
              <w:rPr>
                <w:rFonts w:eastAsia="MinionPro-Regular"/>
              </w:rPr>
              <w:t>органов местного самоуправления Северского района с религиозными организациями традиционных конфессий,</w:t>
            </w:r>
            <w:r>
              <w:rPr/>
              <w:t xml:space="preserve"> осуществляющими свою</w:t>
            </w:r>
            <w:r>
              <w:rPr/>
              <w:t xml:space="preserve"> деятельность на территории района;</w:t>
            </w:r>
          </w:p>
          <w:p>
            <w:pPr>
              <w:pStyle w:val="Standard"/>
              <w:widowControl w:val="false"/>
              <w:jc w:val="both"/>
              <w:rPr>
                <w:rFonts w:eastAsia="MinionPro-Regular"/>
              </w:rPr>
            </w:pPr>
            <w:r>
              <w:rPr>
                <w:rFonts w:eastAsia="MinionPro-Regular"/>
              </w:rPr>
              <w:t>предотвращение конфликтных ситуаций между различными религиозными конфессиями посредством проведения мероприятий в общественно - политической и социальной сферах;</w:t>
            </w:r>
          </w:p>
          <w:p>
            <w:pPr>
              <w:pStyle w:val="Standard"/>
              <w:widowControl w:val="false"/>
              <w:jc w:val="both"/>
              <w:rPr>
                <w:rFonts w:eastAsia="MinionPro-Regular"/>
              </w:rPr>
            </w:pPr>
            <w:r>
              <w:rPr>
                <w:rFonts w:eastAsia="MinionPro-Regular"/>
              </w:rPr>
              <w:t>воспитание гражданственности и патриотизма населения, сохранение традиций, культуры и языка населения Кубани;</w:t>
            </w:r>
          </w:p>
          <w:p>
            <w:pPr>
              <w:pStyle w:val="Standard"/>
              <w:widowControl w:val="false"/>
              <w:jc w:val="both"/>
              <w:rPr>
                <w:rFonts w:eastAsia="MinionPro-Regular"/>
              </w:rPr>
            </w:pPr>
            <w:r>
              <w:rPr/>
              <w:t xml:space="preserve">повышение исторической значимости православия как основополагающей конфессии </w:t>
            </w:r>
          </w:p>
        </w:tc>
      </w:tr>
      <w:tr>
        <w:trPr>
          <w:trHeight w:val="338" w:hRule="atLeast"/>
        </w:trPr>
        <w:tc>
          <w:tcPr>
            <w:tcW w:w="51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spacing w:lineRule="auto" w:line="276"/>
              <w:jc w:val="center"/>
              <w:rPr/>
            </w:pPr>
            <w:r>
              <w:rPr/>
              <w:t>1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jc w:val="center"/>
              <w:rPr/>
            </w:pPr>
            <w:r>
              <w:rPr/>
              <w:t>2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jc w:val="center"/>
              <w:rPr/>
            </w:pPr>
            <w:r>
              <w:rPr/>
              <w:t>3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>
            <w:pPr>
              <w:pStyle w:val="Standard"/>
              <w:jc w:val="center"/>
              <w:rPr/>
            </w:pPr>
            <w:r>
              <w:rPr/>
              <w:t>4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" w:type="dxa"/>
              <w:right w:w="10" w:type="dxa"/>
            </w:tcMar>
          </w:tcPr>
          <w:p>
            <w:pPr>
              <w:pStyle w:val="Standard"/>
              <w:jc w:val="center"/>
              <w:rPr/>
            </w:pPr>
            <w:r>
              <w:rPr/>
              <w:t>5</w:t>
            </w:r>
          </w:p>
        </w:tc>
        <w:tc>
          <w:tcPr>
            <w:tcW w:w="7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Standard"/>
              <w:jc w:val="center"/>
              <w:rPr/>
            </w:pPr>
            <w:r>
              <w:rPr/>
              <w:t>6</w:t>
            </w:r>
          </w:p>
        </w:tc>
      </w:tr>
      <w:tr>
        <w:trPr>
          <w:trHeight w:val="996" w:hRule="atLeast"/>
        </w:trPr>
        <w:tc>
          <w:tcPr>
            <w:tcW w:w="9524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jc w:val="both"/>
              <w:rPr>
                <w:rFonts w:eastAsia="MinionPro-Regular"/>
              </w:rPr>
            </w:pPr>
            <w:r>
              <w:rPr>
                <w:rFonts w:eastAsia="MinionPro-Regular"/>
              </w:rPr>
              <w:t>Кубани;</w:t>
            </w:r>
          </w:p>
          <w:p>
            <w:pPr>
              <w:pStyle w:val="Standard"/>
              <w:widowControl w:val="false"/>
              <w:jc w:val="both"/>
              <w:rPr>
                <w:rFonts w:eastAsia="MinionPro-Regular"/>
              </w:rPr>
            </w:pPr>
            <w:r>
              <w:rPr>
                <w:rFonts w:eastAsia="MinionPro-Regular"/>
              </w:rPr>
              <w:t>поддержка общественных инициатив и целевых проектов религиозных организаций традиционных конфессий, направленных на духовно-нравственное развитие жителей Северского района;</w:t>
            </w:r>
          </w:p>
          <w:p>
            <w:pPr>
              <w:pStyle w:val="Standard"/>
              <w:widowControl w:val="false"/>
              <w:jc w:val="both"/>
              <w:rPr/>
            </w:pPr>
            <w:r>
              <w:rPr>
                <w:rFonts w:eastAsia="MinionPro-Regular"/>
              </w:rPr>
              <w:t>и</w:t>
            </w:r>
            <w:r>
              <w:rPr/>
              <w:t>нформирование населения о деятельности и поддержке религиозных организаций традиционных конфессий через средства массовой инфор</w:t>
            </w:r>
            <w:r>
              <w:rPr>
                <w:shd w:fill="auto" w:val="clear"/>
              </w:rPr>
              <w:t xml:space="preserve">мации </w:t>
            </w:r>
            <w:r>
              <w:rPr>
                <w:shd w:fill="auto" w:val="clear"/>
              </w:rPr>
              <w:t>и печатные материалы</w:t>
            </w:r>
          </w:p>
        </w:tc>
      </w:tr>
      <w:tr>
        <w:trPr>
          <w:trHeight w:val="996" w:hRule="atLeast"/>
        </w:trPr>
        <w:tc>
          <w:tcPr>
            <w:tcW w:w="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spacing w:lineRule="auto" w:line="276"/>
              <w:jc w:val="center"/>
              <w:rPr/>
            </w:pPr>
            <w:r>
              <w:rPr/>
              <w:t>1.</w:t>
            </w:r>
          </w:p>
        </w:tc>
        <w:tc>
          <w:tcPr>
            <w:tcW w:w="46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spacing w:lineRule="auto" w:line="276"/>
              <w:rPr/>
            </w:pPr>
            <w:r>
              <w:rPr/>
              <w:t>Охват граждан, проживающих на территории Северского района, принявших участие в реализации мероприятий подпрограммы</w:t>
            </w:r>
          </w:p>
        </w:tc>
        <w:tc>
          <w:tcPr>
            <w:tcW w:w="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jc w:val="center"/>
              <w:rPr/>
            </w:pPr>
            <w:r>
              <w:rPr/>
              <w:t>тыс.</w:t>
            </w:r>
          </w:p>
          <w:p>
            <w:pPr>
              <w:pStyle w:val="Standard"/>
              <w:ind w:left="-113"/>
              <w:jc w:val="center"/>
              <w:rPr/>
            </w:pPr>
            <w:r>
              <w:rPr/>
              <w:t>чел.</w:t>
            </w:r>
          </w:p>
        </w:tc>
        <w:tc>
          <w:tcPr>
            <w:tcW w:w="9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jc w:val="center"/>
              <w:rPr/>
            </w:pPr>
            <w:r>
              <w:rPr/>
              <w:t>3,9</w:t>
            </w:r>
          </w:p>
        </w:tc>
        <w:tc>
          <w:tcPr>
            <w:tcW w:w="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>
            <w:pPr>
              <w:pStyle w:val="Standard"/>
              <w:jc w:val="center"/>
              <w:rPr/>
            </w:pPr>
            <w:r>
              <w:rPr/>
              <w:t>1,2</w:t>
            </w:r>
          </w:p>
        </w:tc>
        <w:tc>
          <w:tcPr>
            <w:tcW w:w="956" w:type="dxa"/>
            <w:tcBorders>
              <w:left w:val="single" w:sz="4" w:space="0" w:color="000000"/>
              <w:bottom w:val="single" w:sz="4" w:space="0" w:color="000000"/>
            </w:tcBorders>
            <w:tcMar>
              <w:left w:w="10" w:type="dxa"/>
              <w:right w:w="10" w:type="dxa"/>
            </w:tcMar>
          </w:tcPr>
          <w:p>
            <w:pPr>
              <w:pStyle w:val="Standard"/>
              <w:jc w:val="center"/>
              <w:rPr/>
            </w:pPr>
            <w:r>
              <w:rPr/>
              <w:t>1,2</w:t>
            </w:r>
          </w:p>
        </w:tc>
        <w:tc>
          <w:tcPr>
            <w:tcW w:w="7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Standard"/>
              <w:jc w:val="center"/>
              <w:rPr/>
            </w:pPr>
            <w:r>
              <w:rPr/>
              <w:t>1,2</w:t>
            </w:r>
          </w:p>
        </w:tc>
      </w:tr>
    </w:tbl>
    <w:p>
      <w:pPr>
        <w:pStyle w:val="Standard"/>
        <w:widowControl w:val="false"/>
        <w:jc w:val="center"/>
        <w:rPr>
          <w:color w:val="000000"/>
        </w:rPr>
      </w:pPr>
      <w:r>
        <w:rPr>
          <w:color w:val="000000"/>
        </w:rPr>
      </w:r>
    </w:p>
    <w:p>
      <w:pPr>
        <w:pStyle w:val="Normal"/>
        <w:spacing w:before="0" w:after="0"/>
        <w:ind w:firstLine="737"/>
        <w:contextualSpacing/>
        <w:jc w:val="both"/>
        <w:rPr/>
      </w:pPr>
      <w:r>
        <w:rPr>
          <w:rFonts w:ascii="Times New Roman" w:hAnsi="Times New Roman"/>
          <w:sz w:val="28"/>
          <w:szCs w:val="28"/>
        </w:rPr>
        <w:t>Сведения о порядке сбора и методике расчета целевых показателей приведены в приложении № 1 к настоящей подпрограмме.</w:t>
      </w:r>
    </w:p>
    <w:p>
      <w:pPr>
        <w:pStyle w:val="Normal"/>
        <w:spacing w:before="0" w:after="0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Standard"/>
        <w:widowControl w:val="false"/>
        <w:jc w:val="center"/>
        <w:rPr/>
      </w:pPr>
      <w:r>
        <w:rPr>
          <w:b/>
          <w:color w:val="000000"/>
          <w:sz w:val="28"/>
          <w:szCs w:val="28"/>
        </w:rPr>
        <w:t>3. Перечень мероприятий п</w:t>
      </w:r>
      <w:r>
        <w:rPr>
          <w:b/>
          <w:sz w:val="28"/>
          <w:szCs w:val="28"/>
        </w:rPr>
        <w:t>одпрограммы</w:t>
      </w:r>
    </w:p>
    <w:p>
      <w:pPr>
        <w:pStyle w:val="Standard"/>
        <w:widowControl w:val="false"/>
        <w:tabs>
          <w:tab w:val="clear" w:pos="708"/>
          <w:tab w:val="left" w:pos="1921" w:leader="none"/>
        </w:tabs>
        <w:ind w:left="851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</w:r>
    </w:p>
    <w:p>
      <w:pPr>
        <w:pStyle w:val="Normal"/>
        <w:spacing w:lineRule="atLeast" w:line="100"/>
        <w:ind w:firstLine="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Перечень мероприятий подпрограммы с отражением непосредственного результата и связи с целевыми показателями изложен в приложении №2 и №2.1 к настоящей подпрограмме.</w:t>
      </w:r>
    </w:p>
    <w:p>
      <w:pPr>
        <w:pStyle w:val="Standard"/>
        <w:widowControl w:val="false"/>
        <w:tabs>
          <w:tab w:val="clear" w:pos="708"/>
          <w:tab w:val="left" w:pos="1070" w:leader="none"/>
        </w:tabs>
        <w:ind w:firstLine="851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</w:r>
    </w:p>
    <w:p>
      <w:pPr>
        <w:pStyle w:val="Normal"/>
        <w:tabs>
          <w:tab w:val="clear" w:pos="708"/>
          <w:tab w:val="left" w:pos="2580" w:leader="none"/>
        </w:tabs>
        <w:spacing w:before="0" w:after="0"/>
        <w:contextualSpacing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4. </w:t>
      </w:r>
      <w:r>
        <w:rPr>
          <w:rFonts w:ascii="Times New Roman" w:hAnsi="Times New Roman"/>
          <w:b/>
          <w:color w:val="000000"/>
          <w:sz w:val="28"/>
          <w:szCs w:val="28"/>
        </w:rPr>
        <w:t>Механизм реализации подпрограммы</w:t>
      </w:r>
    </w:p>
    <w:p>
      <w:pPr>
        <w:pStyle w:val="Standard"/>
        <w:widowControl w:val="false"/>
        <w:tabs>
          <w:tab w:val="clear" w:pos="708"/>
          <w:tab w:val="left" w:pos="1070" w:leader="none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>
      <w:pPr>
        <w:pStyle w:val="Standard"/>
        <w:tabs>
          <w:tab w:val="clear" w:pos="708"/>
          <w:tab w:val="left" w:pos="1070" w:leader="none"/>
        </w:tabs>
        <w:spacing w:lineRule="atLeast" w:line="100"/>
        <w:ind w:firstLine="850"/>
        <w:jc w:val="both"/>
        <w:rPr>
          <w:sz w:val="28"/>
          <w:szCs w:val="28"/>
        </w:rPr>
      </w:pPr>
      <w:r>
        <w:rPr>
          <w:sz w:val="28"/>
          <w:szCs w:val="28"/>
        </w:rPr>
        <w:t>Механизм реализации подпрограммы предусматривает перечень мероприятий, сгруппированных с учетом их функциональной однородности, взаимосвязанности, в соответствии с целями и задачами, на решение которых они направлены.</w:t>
      </w:r>
    </w:p>
    <w:p>
      <w:pPr>
        <w:pStyle w:val="Normal"/>
        <w:ind w:firstLine="850"/>
        <w:jc w:val="both"/>
        <w:rPr/>
      </w:pPr>
      <w:r>
        <w:rPr>
          <w:rFonts w:ascii="Times New Roman" w:hAnsi="Times New Roman"/>
          <w:sz w:val="28"/>
          <w:szCs w:val="28"/>
        </w:rPr>
        <w:t>Текущее управление муниципальной программой осуществляет координатор муниципальной программы - управление по связям с общественностью администрации муниципального образования Северский муницмпальный район, который:</w:t>
      </w:r>
    </w:p>
    <w:p>
      <w:pPr>
        <w:pStyle w:val="Standard"/>
        <w:spacing w:lineRule="atLeast" w:line="100"/>
        <w:ind w:firstLine="850"/>
        <w:jc w:val="both"/>
        <w:rPr>
          <w:sz w:val="28"/>
          <w:szCs w:val="28"/>
        </w:rPr>
      </w:pPr>
      <w:r>
        <w:rPr>
          <w:sz w:val="28"/>
          <w:szCs w:val="28"/>
        </w:rPr>
        <w:t>организует реализацию подпрограммы;</w:t>
      </w:r>
    </w:p>
    <w:p>
      <w:pPr>
        <w:pStyle w:val="Standard"/>
        <w:spacing w:lineRule="atLeast" w:line="100"/>
        <w:ind w:firstLine="850"/>
        <w:jc w:val="both"/>
        <w:rPr>
          <w:sz w:val="28"/>
          <w:szCs w:val="28"/>
        </w:rPr>
      </w:pPr>
      <w:r>
        <w:rPr>
          <w:sz w:val="28"/>
          <w:szCs w:val="28"/>
        </w:rPr>
        <w:t>организует координацию деятельности соисполнителей и ответственных за выполнение мероприятий подпрограммы;</w:t>
      </w:r>
    </w:p>
    <w:p>
      <w:pPr>
        <w:pStyle w:val="Standard"/>
        <w:spacing w:lineRule="atLeast" w:line="100"/>
        <w:ind w:firstLine="850"/>
        <w:jc w:val="both"/>
        <w:rPr>
          <w:sz w:val="28"/>
          <w:szCs w:val="28"/>
        </w:rPr>
      </w:pPr>
      <w:r>
        <w:rPr>
          <w:sz w:val="28"/>
          <w:szCs w:val="28"/>
        </w:rPr>
        <w:t>организует нормативно-правовое и методическое обеспечение реализации мероприятий подпрограммы;</w:t>
      </w:r>
    </w:p>
    <w:p>
      <w:pPr>
        <w:pStyle w:val="Standard"/>
        <w:spacing w:lineRule="atLeast" w:line="100"/>
        <w:ind w:firstLine="850"/>
        <w:jc w:val="both"/>
        <w:rPr>
          <w:sz w:val="28"/>
          <w:szCs w:val="28"/>
        </w:rPr>
      </w:pPr>
      <w:r>
        <w:rPr>
          <w:sz w:val="28"/>
          <w:szCs w:val="28"/>
        </w:rPr>
        <w:t>осуществляет подготовку предложений по объемам и источникам средств реализации подпрограммы на основании предложений соисполнителей и ответственных за выполнение мероприятий подпрограммы;</w:t>
      </w:r>
    </w:p>
    <w:p>
      <w:pPr>
        <w:pStyle w:val="Standard"/>
        <w:spacing w:lineRule="atLeast" w:line="100"/>
        <w:ind w:firstLine="850"/>
        <w:jc w:val="both"/>
        <w:rPr>
          <w:sz w:val="28"/>
          <w:szCs w:val="28"/>
        </w:rPr>
      </w:pPr>
      <w:r>
        <w:rPr>
          <w:sz w:val="28"/>
          <w:szCs w:val="28"/>
        </w:rPr>
        <w:t>организует информационную и разъяснительную работу, направленную на освещение целей и задач по достижению целевых показателей подпрограммы;</w:t>
      </w:r>
    </w:p>
    <w:p>
      <w:pPr>
        <w:pStyle w:val="Standard"/>
        <w:spacing w:lineRule="atLeast" w:line="100"/>
        <w:ind w:firstLine="850"/>
        <w:jc w:val="both"/>
        <w:rPr>
          <w:sz w:val="28"/>
          <w:szCs w:val="28"/>
        </w:rPr>
      </w:pPr>
      <w:r>
        <w:rPr>
          <w:sz w:val="28"/>
          <w:szCs w:val="28"/>
        </w:rPr>
        <w:t>готовит ежегодный доклад о ходе реализации мероприятий муниципальной подпрограммы;</w:t>
      </w:r>
    </w:p>
    <w:p>
      <w:pPr>
        <w:pStyle w:val="Standard"/>
        <w:spacing w:lineRule="atLeast" w:line="100"/>
        <w:ind w:firstLine="850"/>
        <w:jc w:val="both"/>
        <w:rPr>
          <w:sz w:val="28"/>
          <w:szCs w:val="28"/>
        </w:rPr>
      </w:pPr>
      <w:r>
        <w:rPr>
          <w:sz w:val="28"/>
          <w:szCs w:val="28"/>
        </w:rPr>
        <w:t>осуществляет мониторинг и анализ отчетов муниципальных заказчиков, ответственных за реализацию мероприятий;</w:t>
      </w:r>
    </w:p>
    <w:p>
      <w:pPr>
        <w:pStyle w:val="Standard"/>
        <w:spacing w:lineRule="atLeast" w:line="100"/>
        <w:ind w:firstLine="850"/>
        <w:jc w:val="both"/>
        <w:rPr/>
      </w:pPr>
      <w:r>
        <w:rPr>
          <w:sz w:val="28"/>
          <w:szCs w:val="28"/>
        </w:rPr>
        <w:t>осуществляет оценку социально-экономической эффективности подпрограммы, оценку целевых индикаторов и показателей реализации, организует работу по достижению целевых показателей подпрограммы;</w:t>
      </w:r>
    </w:p>
    <w:p>
      <w:pPr>
        <w:pStyle w:val="Standard"/>
        <w:spacing w:lineRule="atLeast" w:line="100"/>
        <w:ind w:firstLine="850"/>
        <w:jc w:val="both"/>
        <w:rPr/>
      </w:pPr>
      <w:r>
        <w:rPr>
          <w:sz w:val="28"/>
          <w:szCs w:val="28"/>
        </w:rPr>
        <w:t>проводит оценку эффективности муниципальной подпрограммы;</w:t>
      </w:r>
    </w:p>
    <w:p>
      <w:pPr>
        <w:pStyle w:val="Standard"/>
        <w:tabs>
          <w:tab w:val="clear" w:pos="708"/>
          <w:tab w:val="left" w:pos="1070" w:leader="none"/>
        </w:tabs>
        <w:spacing w:lineRule="atLeast" w:line="100"/>
        <w:ind w:firstLine="850"/>
        <w:jc w:val="both"/>
        <w:rPr/>
      </w:pPr>
      <w:r>
        <w:rPr>
          <w:sz w:val="28"/>
          <w:szCs w:val="28"/>
        </w:rPr>
        <w:t>осуществляет иные полномочия, установленные подпрограммой.</w:t>
      </w:r>
    </w:p>
    <w:p>
      <w:pPr>
        <w:pStyle w:val="Normal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В целях осуществления текущего контроля реализации мероприятий муниципальной подпрограммы координатор и/или ответственный исполнитель подпрограммы ежеквартально не позднее 12-го числа месяца, следующего за отчетным периодом, представляет в управление экономики, инвестиций и прогнозирования администрации муниципального образования Северский район, отчет об объемах и источниках финансирования подпрограммы в разрезе мероприятий. </w:t>
      </w:r>
    </w:p>
    <w:p>
      <w:pPr>
        <w:pStyle w:val="Normal"/>
        <w:ind w:firstLine="850"/>
        <w:jc w:val="both"/>
        <w:rPr/>
      </w:pPr>
      <w:r>
        <w:rPr>
          <w:rFonts w:ascii="Times New Roman" w:hAnsi="Times New Roman"/>
          <w:sz w:val="28"/>
          <w:szCs w:val="28"/>
        </w:rPr>
        <w:t>Ответственный исполнитель ежегодно, не позднее 10 февраля года, следующего за отчетным годом, направляет в управление экономики, инвестиций и прогнозирования доклад о ходе реализации муниципальной подпрограммы на бумажных и электронных носителях.</w:t>
      </w:r>
    </w:p>
    <w:p>
      <w:pPr>
        <w:pStyle w:val="Normal"/>
        <w:tabs>
          <w:tab w:val="clear" w:pos="708"/>
          <w:tab w:val="left" w:pos="9498" w:leader="none"/>
        </w:tabs>
        <w:ind w:firstLine="850"/>
        <w:jc w:val="both"/>
        <w:rPr/>
      </w:pPr>
      <w:r>
        <w:rPr>
          <w:rFonts w:ascii="Times New Roman" w:hAnsi="Times New Roman"/>
          <w:sz w:val="28"/>
          <w:szCs w:val="28"/>
        </w:rPr>
        <w:t xml:space="preserve">Контроль за ходом реализации муниципальной подпрограммы осуществляется управлением по связям с общественностью в соответствии с правовыми актами администрации муниципального образования Северский муниципальный район Краснодарского края. </w:t>
      </w:r>
    </w:p>
    <w:p>
      <w:pPr>
        <w:pStyle w:val="Standard"/>
        <w:tabs>
          <w:tab w:val="clear" w:pos="708"/>
          <w:tab w:val="left" w:pos="1070" w:leader="none"/>
        </w:tabs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andard"/>
        <w:tabs>
          <w:tab w:val="clear" w:pos="708"/>
          <w:tab w:val="left" w:pos="1070" w:leader="none"/>
        </w:tabs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andard"/>
        <w:tabs>
          <w:tab w:val="clear" w:pos="708"/>
          <w:tab w:val="left" w:pos="1070" w:leader="none"/>
        </w:tabs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1070" w:leader="none"/>
        </w:tabs>
        <w:ind w:hanging="34"/>
        <w:jc w:val="both"/>
        <w:textAlignment w:val="auto"/>
        <w:rPr/>
      </w:pPr>
      <w:r>
        <w:rPr>
          <w:rFonts w:eastAsia="Andale Sans UI" w:cs="Tahoma" w:ascii="Times New Roman" w:hAnsi="Times New Roman"/>
          <w:sz w:val="28"/>
          <w:szCs w:val="28"/>
          <w:lang w:eastAsia="ja-JP" w:bidi="fa-IR"/>
        </w:rPr>
        <w:t>Н</w:t>
      </w:r>
      <w:r>
        <w:rPr>
          <w:rFonts w:eastAsia="Andale Sans UI" w:cs="Tahoma" w:ascii="Times New Roman" w:hAnsi="Times New Roman"/>
          <w:sz w:val="28"/>
          <w:szCs w:val="28"/>
          <w:lang w:val="de-DE" w:eastAsia="ja-JP" w:bidi="fa-IR"/>
        </w:rPr>
        <w:t>ачальник управления</w:t>
      </w:r>
    </w:p>
    <w:p>
      <w:pPr>
        <w:pStyle w:val="Normal"/>
        <w:tabs>
          <w:tab w:val="clear" w:pos="708"/>
          <w:tab w:val="left" w:pos="1070" w:leader="none"/>
        </w:tabs>
        <w:ind w:hanging="17"/>
        <w:jc w:val="both"/>
        <w:textAlignment w:val="auto"/>
        <w:rPr/>
      </w:pPr>
      <w:r>
        <w:rPr>
          <w:rFonts w:eastAsia="Andale Sans UI" w:cs="Tahoma" w:ascii="Times New Roman" w:hAnsi="Times New Roman"/>
          <w:sz w:val="28"/>
          <w:szCs w:val="28"/>
          <w:lang w:val="de-DE" w:eastAsia="ja-JP" w:bidi="fa-IR"/>
        </w:rPr>
        <w:t>по связям с общественностью</w:t>
        <w:tab/>
        <w:tab/>
        <w:tab/>
        <w:tab/>
      </w:r>
      <w:r>
        <w:rPr>
          <w:rFonts w:eastAsia="Andale Sans UI" w:cs="Tahoma" w:ascii="Times New Roman" w:hAnsi="Times New Roman"/>
          <w:sz w:val="28"/>
          <w:szCs w:val="28"/>
          <w:lang w:eastAsia="ja-JP" w:bidi="fa-IR"/>
        </w:rPr>
        <w:t xml:space="preserve">    </w:t>
      </w:r>
      <w:r>
        <w:rPr>
          <w:rFonts w:eastAsia="Andale Sans UI" w:cs="Tahoma" w:ascii="Times New Roman" w:hAnsi="Times New Roman"/>
          <w:sz w:val="28"/>
          <w:szCs w:val="28"/>
          <w:lang w:val="de-DE" w:eastAsia="ja-JP" w:bidi="fa-IR"/>
        </w:rPr>
        <w:t xml:space="preserve">       </w:t>
      </w:r>
      <w:r>
        <w:rPr>
          <w:rFonts w:eastAsia="Andale Sans UI" w:cs="Tahoma" w:ascii="Times New Roman" w:hAnsi="Times New Roman"/>
          <w:sz w:val="28"/>
          <w:szCs w:val="28"/>
          <w:lang w:eastAsia="ja-JP" w:bidi="fa-IR"/>
        </w:rPr>
        <w:t xml:space="preserve">      В.В.Снимщиков</w:t>
      </w:r>
    </w:p>
    <w:p>
      <w:pPr>
        <w:pStyle w:val="Standard"/>
        <w:rPr>
          <w:sz w:val="28"/>
          <w:szCs w:val="28"/>
        </w:rPr>
      </w:pPr>
      <w:r>
        <w:rPr>
          <w:sz w:val="28"/>
          <w:szCs w:val="28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701" w:right="630" w:gutter="0" w:header="720" w:top="1134" w:footer="0" w:bottom="1134"/>
      <w:pgNumType w:fmt="decimal"/>
      <w:formProt w:val="false"/>
      <w:titlePg/>
      <w:textDirection w:val="lrTb"/>
      <w:docGrid w:type="default" w:linePitch="100" w:charSpace="1638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swiss"/>
    <w:pitch w:val="default"/>
  </w:font>
  <w:font w:name="Times New Roman">
    <w:charset w:val="01"/>
    <w:family w:val="roman"/>
    <w:pitch w:val="default"/>
  </w:font>
  <w:font w:name="Tahoma">
    <w:charset w:val="01"/>
    <w:family w:val="swiss"/>
    <w:pitch w:val="default"/>
  </w:font>
  <w:font w:name="OpenSymbol">
    <w:altName w:val="Arial Unicode MS"/>
    <w:charset w:val="01"/>
    <w:family w:val="swiss"/>
    <w:pitch w:val="default"/>
  </w:font>
  <w:font w:name="Arial">
    <w:charset w:val="01"/>
    <w:family w:val="swiss"/>
    <w:pitch w:val="default"/>
  </w:font>
  <w:font w:name="PT Astra Serif">
    <w:charset w:val="01"/>
    <w:family w:val="roman"/>
    <w:pitch w:val="default"/>
  </w:font>
  <w:font w:name="Courier New">
    <w:charset w:val="01"/>
    <w:family w:val="swiss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7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settings.xml><?xml version="1.0" encoding="utf-8"?>
<w:settings xmlns:w="http://schemas.openxmlformats.org/wordprocessingml/2006/main">
  <w:zoom w:percent="12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kern w:val="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Calibri" w:hAnsi="Calibri" w:eastAsia="Calibri" w:cs="Times New Roman"/>
      <w:color w:val="auto"/>
      <w:kern w:val="2"/>
      <w:sz w:val="20"/>
      <w:szCs w:val="20"/>
      <w:lang w:val="ru-RU" w:eastAsia="ru-RU" w:bidi="ar-SA"/>
    </w:rPr>
  </w:style>
  <w:style w:type="paragraph" w:styleId="Heading1">
    <w:name w:val="heading 1"/>
    <w:basedOn w:val="Standard"/>
    <w:next w:val="Textbody"/>
    <w:uiPriority w:val="9"/>
    <w:qFormat/>
    <w:pPr>
      <w:keepNext w:val="true"/>
      <w:widowControl w:val="false"/>
      <w:spacing w:lineRule="auto" w:line="348"/>
      <w:jc w:val="both"/>
      <w:outlineLvl w:val="0"/>
    </w:pPr>
    <w:rPr>
      <w:rFonts w:eastAsia="Calibri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qFormat/>
    <w:rPr>
      <w:rFonts w:ascii="Times New Roman" w:hAnsi="Times New Roman" w:cs="Times New Roman"/>
      <w:sz w:val="20"/>
      <w:lang w:eastAsia="ru-RU"/>
    </w:rPr>
  </w:style>
  <w:style w:type="character" w:styleId="Style13" w:customStyle="1">
    <w:name w:val="Основной текст с отступом Знак"/>
    <w:qFormat/>
    <w:rPr>
      <w:rFonts w:ascii="Times New Roman" w:hAnsi="Times New Roman" w:cs="Times New Roman"/>
      <w:color w:val="000000"/>
      <w:sz w:val="24"/>
      <w:lang w:eastAsia="ru-RU"/>
    </w:rPr>
  </w:style>
  <w:style w:type="character" w:styleId="Style14" w:customStyle="1">
    <w:name w:val="Верхний колонтитул Знак"/>
    <w:qFormat/>
    <w:rPr>
      <w:rFonts w:ascii="Times New Roman" w:hAnsi="Times New Roman" w:cs="Times New Roman"/>
      <w:sz w:val="24"/>
      <w:lang w:eastAsia="ru-RU"/>
    </w:rPr>
  </w:style>
  <w:style w:type="character" w:styleId="PageNumber">
    <w:name w:val="page number"/>
    <w:rPr>
      <w:rFonts w:cs="Times New Roman"/>
    </w:rPr>
  </w:style>
  <w:style w:type="character" w:styleId="Style15" w:customStyle="1">
    <w:name w:val="Нижний колонтитул Знак"/>
    <w:qFormat/>
    <w:rPr>
      <w:rFonts w:ascii="Times New Roman" w:hAnsi="Times New Roman" w:cs="Times New Roman"/>
      <w:sz w:val="24"/>
      <w:lang w:eastAsia="ru-RU"/>
    </w:rPr>
  </w:style>
  <w:style w:type="character" w:styleId="Style16" w:customStyle="1">
    <w:name w:val="Текст выноски Знак"/>
    <w:qFormat/>
    <w:rPr>
      <w:rFonts w:ascii="Tahoma" w:hAnsi="Tahoma" w:cs="Times New Roman"/>
      <w:sz w:val="16"/>
      <w:lang w:eastAsia="ru-RU"/>
    </w:rPr>
  </w:style>
  <w:style w:type="character" w:styleId="Style17" w:customStyle="1">
    <w:name w:val="Гипертекстовая ссылка"/>
    <w:qFormat/>
    <w:rPr>
      <w:b/>
      <w:color w:val="106BBE"/>
    </w:rPr>
  </w:style>
  <w:style w:type="character" w:styleId="Style18" w:customStyle="1">
    <w:name w:val="Маркеры"/>
    <w:qFormat/>
    <w:rPr>
      <w:rFonts w:ascii="OpenSymbol" w:hAnsi="OpenSymbol" w:eastAsia="OpenSymbol" w:cs="OpenSymbol"/>
    </w:rPr>
  </w:style>
  <w:style w:type="paragraph" w:styleId="Style19" w:customStyle="1">
    <w:name w:val="Заголовок"/>
    <w:basedOn w:val="Standard"/>
    <w:next w:val="Textbody"/>
    <w:qFormat/>
    <w:pPr>
      <w:keepNext w:val="true"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Mangal"/>
    </w:rPr>
  </w:style>
  <w:style w:type="paragraph" w:styleId="Caption">
    <w:name w:val="caption"/>
    <w:basedOn w:val="Standard"/>
    <w:qFormat/>
    <w:pPr>
      <w:suppressLineNumbers/>
      <w:spacing w:before="120" w:after="120"/>
    </w:pPr>
    <w:rPr>
      <w:rFonts w:cs="Mangal"/>
      <w:i/>
      <w:iCs/>
    </w:rPr>
  </w:style>
  <w:style w:type="paragraph" w:styleId="Style20" w:customStyle="1">
    <w:name w:val="Указатель"/>
    <w:basedOn w:val="Standard"/>
    <w:qFormat/>
    <w:pPr>
      <w:suppressLineNumbers/>
    </w:pPr>
    <w:rPr>
      <w:rFonts w:cs="Mangal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IndexHeading">
    <w:name w:val="index heading"/>
    <w:basedOn w:val="Normal"/>
    <w:qFormat/>
    <w:pPr>
      <w:suppressLineNumbers/>
    </w:pPr>
    <w:rPr>
      <w:rFonts w:ascii="PT Astra Serif" w:hAnsi="PT Astra Serif" w:cs="FreeSans"/>
    </w:rPr>
  </w:style>
  <w:style w:type="paragraph" w:styleId="Standard" w:customStyle="1">
    <w:name w:val="Standard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2"/>
      <w:sz w:val="24"/>
      <w:szCs w:val="24"/>
      <w:lang w:val="ru-RU" w:eastAsia="ru-RU" w:bidi="ar-SA"/>
    </w:rPr>
  </w:style>
  <w:style w:type="paragraph" w:styleId="Textbody" w:customStyle="1">
    <w:name w:val="Text body"/>
    <w:basedOn w:val="Standard"/>
    <w:qFormat/>
    <w:pPr>
      <w:spacing w:before="0" w:after="120"/>
    </w:pPr>
    <w:rPr/>
  </w:style>
  <w:style w:type="paragraph" w:styleId="Textbodyindent" w:customStyle="1">
    <w:name w:val="Text body indent"/>
    <w:basedOn w:val="Standard"/>
    <w:qFormat/>
    <w:pPr>
      <w:widowControl w:val="false"/>
      <w:ind w:firstLine="720" w:left="283"/>
      <w:jc w:val="both"/>
    </w:pPr>
    <w:rPr>
      <w:rFonts w:eastAsia="Calibri"/>
      <w:color w:val="000000"/>
    </w:rPr>
  </w:style>
  <w:style w:type="paragraph" w:styleId="ConsNormal" w:customStyle="1">
    <w:name w:val="ConsNormal"/>
    <w:qFormat/>
    <w:pPr>
      <w:widowControl w:val="false"/>
      <w:suppressAutoHyphens w:val="true"/>
      <w:bidi w:val="0"/>
      <w:spacing w:before="0" w:after="0"/>
      <w:ind w:firstLine="720" w:right="19772"/>
      <w:jc w:val="left"/>
      <w:textAlignment w:val="baseline"/>
    </w:pPr>
    <w:rPr>
      <w:rFonts w:ascii="Arial" w:hAnsi="Arial" w:eastAsia="Times New Roman" w:cs="Arial"/>
      <w:color w:val="auto"/>
      <w:kern w:val="2"/>
      <w:sz w:val="20"/>
      <w:szCs w:val="20"/>
      <w:lang w:val="ru-RU" w:eastAsia="ru-RU" w:bidi="ar-SA"/>
    </w:rPr>
  </w:style>
  <w:style w:type="paragraph" w:styleId="ConsPlusNonformat" w:customStyle="1">
    <w:name w:val="ConsPlusNonformat"/>
    <w:qFormat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Courier New" w:hAnsi="Courier New" w:eastAsia="Times New Roman" w:cs="Courier New"/>
      <w:color w:val="auto"/>
      <w:kern w:val="2"/>
      <w:sz w:val="20"/>
      <w:szCs w:val="20"/>
      <w:lang w:val="ru-RU" w:eastAsia="ru-RU" w:bidi="ar-SA"/>
    </w:rPr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Standard"/>
    <w:pPr>
      <w:suppressLineNumbers/>
      <w:tabs>
        <w:tab w:val="clear" w:pos="708"/>
        <w:tab w:val="center" w:pos="4677" w:leader="none"/>
        <w:tab w:val="right" w:pos="9355" w:leader="none"/>
      </w:tabs>
    </w:pPr>
    <w:rPr>
      <w:rFonts w:eastAsia="Calibri"/>
    </w:rPr>
  </w:style>
  <w:style w:type="paragraph" w:styleId="FR1" w:customStyle="1">
    <w:name w:val="FR1"/>
    <w:qFormat/>
    <w:pPr>
      <w:widowControl w:val="false"/>
      <w:suppressAutoHyphens w:val="true"/>
      <w:bidi w:val="0"/>
      <w:spacing w:before="0" w:after="0"/>
      <w:ind w:left="1040"/>
      <w:jc w:val="left"/>
      <w:textAlignment w:val="baseline"/>
    </w:pPr>
    <w:rPr>
      <w:rFonts w:ascii="Arial" w:hAnsi="Arial" w:eastAsia="Times New Roman" w:cs="Times New Roman"/>
      <w:color w:val="auto"/>
      <w:kern w:val="2"/>
      <w:sz w:val="64"/>
      <w:szCs w:val="20"/>
      <w:lang w:val="ru-RU" w:eastAsia="ru-RU" w:bidi="ar-SA"/>
    </w:rPr>
  </w:style>
  <w:style w:type="paragraph" w:styleId="ListParagraph">
    <w:name w:val="List Paragraph"/>
    <w:basedOn w:val="Standard"/>
    <w:qFormat/>
    <w:pPr>
      <w:ind w:left="720"/>
    </w:pPr>
    <w:rPr/>
  </w:style>
  <w:style w:type="paragraph" w:styleId="Style21" w:customStyle="1">
    <w:name w:val="Знак"/>
    <w:basedOn w:val="Standard"/>
    <w:qFormat/>
    <w:pPr>
      <w:spacing w:before="28" w:after="100"/>
    </w:pPr>
    <w:rPr>
      <w:rFonts w:ascii="Tahoma" w:hAnsi="Tahoma"/>
      <w:sz w:val="20"/>
      <w:szCs w:val="20"/>
      <w:lang w:val="en-US" w:eastAsia="en-US"/>
    </w:rPr>
  </w:style>
  <w:style w:type="paragraph" w:styleId="Footer">
    <w:name w:val="footer"/>
    <w:basedOn w:val="Standard"/>
    <w:pPr>
      <w:suppressLineNumbers/>
      <w:tabs>
        <w:tab w:val="clear" w:pos="708"/>
        <w:tab w:val="center" w:pos="4677" w:leader="none"/>
        <w:tab w:val="right" w:pos="9355" w:leader="none"/>
      </w:tabs>
    </w:pPr>
    <w:rPr>
      <w:rFonts w:eastAsia="Calibri"/>
    </w:rPr>
  </w:style>
  <w:style w:type="paragraph" w:styleId="BalloonText">
    <w:name w:val="Balloon Text"/>
    <w:basedOn w:val="Standard"/>
    <w:qFormat/>
    <w:pPr/>
    <w:rPr>
      <w:rFonts w:ascii="Tahoma" w:hAnsi="Tahoma" w:eastAsia="Calibri"/>
      <w:sz w:val="16"/>
      <w:szCs w:val="16"/>
    </w:rPr>
  </w:style>
  <w:style w:type="paragraph" w:styleId="Style22" w:customStyle="1">
    <w:name w:val="Нормальный (таблица)"/>
    <w:basedOn w:val="Standard"/>
    <w:qFormat/>
    <w:pPr>
      <w:widowControl w:val="false"/>
      <w:jc w:val="both"/>
    </w:pPr>
    <w:rPr>
      <w:rFonts w:ascii="Arial" w:hAnsi="Arial" w:cs="Arial"/>
    </w:rPr>
  </w:style>
  <w:style w:type="paragraph" w:styleId="Style23" w:customStyle="1">
    <w:name w:val="Содержимое таблицы"/>
    <w:basedOn w:val="Standard"/>
    <w:qFormat/>
    <w:pPr>
      <w:suppressLineNumbers/>
    </w:pPr>
    <w:rPr/>
  </w:style>
  <w:style w:type="paragraph" w:styleId="Style24" w:customStyle="1">
    <w:name w:val="Заголовок таблицы"/>
    <w:basedOn w:val="Style23"/>
    <w:qFormat/>
    <w:pPr>
      <w:jc w:val="center"/>
    </w:pPr>
    <w:rPr>
      <w:b/>
      <w:bCs/>
    </w:rPr>
  </w:style>
  <w:style w:type="paragraph" w:styleId="user" w:customStyle="1">
    <w:name w:val="Содержимое таблицы (user)"/>
    <w:basedOn w:val="Standard"/>
    <w:qFormat/>
    <w:pPr>
      <w:suppressLineNumbers/>
      <w:spacing w:lineRule="atLeast" w:line="100"/>
    </w:pPr>
    <w:rPr/>
  </w:style>
  <w:style w:type="numbering" w:styleId="Style25" w:customStyle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Application>LibreOffice/25.2.3.2$Linux_X86_64 LibreOffice_project/520$Build-2</Application>
  <AppVersion>15.0000</AppVersion>
  <Pages>7</Pages>
  <Words>1434</Words>
  <Characters>11830</Characters>
  <CharactersWithSpaces>13167</CharactersWithSpaces>
  <Paragraphs>137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2025-06-18T13:27:00Z</dcterms:created>
  <dc:creator>user46</dc:creator>
  <dc:description/>
  <dc:language>ru-RU</dc:language>
  <cp:lastModifiedBy/>
  <cp:lastPrinted>2026-07-29T10:45:00Z</cp:lastPrinted>
  <dcterms:modified xsi:type="dcterms:W3CDTF">2026-08-24T15:44:30Z</dcterms:modified>
  <cp:revision>23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